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075" w:rsidRDefault="002B1075" w:rsidP="0006618D">
      <w:pPr>
        <w:rPr>
          <w:b/>
          <w:sz w:val="24"/>
        </w:rPr>
      </w:pPr>
    </w:p>
    <w:p w:rsidR="0006618D" w:rsidRPr="0006618D" w:rsidRDefault="0006618D" w:rsidP="0006618D">
      <w:pPr>
        <w:rPr>
          <w:b/>
          <w:sz w:val="24"/>
        </w:rPr>
      </w:pPr>
      <w:r w:rsidRPr="0006618D">
        <w:rPr>
          <w:b/>
          <w:sz w:val="24"/>
        </w:rPr>
        <w:t>SO.GE.M.I.</w:t>
      </w:r>
    </w:p>
    <w:p w:rsidR="0006618D" w:rsidRPr="0006618D" w:rsidRDefault="0006618D" w:rsidP="0006618D">
      <w:pPr>
        <w:rPr>
          <w:b/>
          <w:sz w:val="24"/>
        </w:rPr>
      </w:pPr>
      <w:r w:rsidRPr="0006618D">
        <w:rPr>
          <w:b/>
          <w:sz w:val="24"/>
        </w:rPr>
        <w:t>RILANCIO E RIQUALIFICAZIONE MERCATI GENERALI DI MILANO</w:t>
      </w:r>
    </w:p>
    <w:p w:rsidR="0006618D" w:rsidRDefault="0006618D">
      <w:pPr>
        <w:rPr>
          <w:b/>
          <w:sz w:val="24"/>
        </w:rPr>
      </w:pPr>
    </w:p>
    <w:p w:rsidR="002B1075" w:rsidRPr="0006618D" w:rsidRDefault="002B1075">
      <w:pPr>
        <w:rPr>
          <w:b/>
          <w:sz w:val="24"/>
        </w:rPr>
      </w:pPr>
    </w:p>
    <w:p w:rsidR="0006618D" w:rsidRPr="0006618D" w:rsidRDefault="0006618D" w:rsidP="0006618D">
      <w:pPr>
        <w:rPr>
          <w:b/>
          <w:sz w:val="24"/>
        </w:rPr>
      </w:pPr>
      <w:r w:rsidRPr="0006618D">
        <w:rPr>
          <w:b/>
          <w:sz w:val="24"/>
        </w:rPr>
        <w:t>LOTTO 1.03 - PIATTAFORMA AMBULANTI CARNE</w:t>
      </w:r>
    </w:p>
    <w:p w:rsidR="0006618D" w:rsidRDefault="0006618D" w:rsidP="0006618D">
      <w:pPr>
        <w:rPr>
          <w:b/>
          <w:sz w:val="24"/>
        </w:rPr>
      </w:pPr>
    </w:p>
    <w:p w:rsidR="002B1075" w:rsidRPr="0006618D" w:rsidRDefault="002B1075" w:rsidP="0006618D">
      <w:pPr>
        <w:rPr>
          <w:b/>
          <w:sz w:val="24"/>
        </w:rPr>
      </w:pPr>
    </w:p>
    <w:p w:rsidR="0006618D" w:rsidRPr="0006618D" w:rsidRDefault="0006618D" w:rsidP="0006618D">
      <w:pPr>
        <w:rPr>
          <w:b/>
          <w:sz w:val="24"/>
        </w:rPr>
      </w:pPr>
      <w:r w:rsidRPr="0006618D">
        <w:rPr>
          <w:b/>
          <w:sz w:val="24"/>
        </w:rPr>
        <w:t>PERIZIA DI VARIANTE</w:t>
      </w:r>
      <w:r w:rsidR="00C42457">
        <w:rPr>
          <w:b/>
          <w:sz w:val="24"/>
        </w:rPr>
        <w:t xml:space="preserve"> n.° 2 – ADEGUAMENTI FUNZIONALI</w:t>
      </w:r>
    </w:p>
    <w:p w:rsidR="0006618D" w:rsidRDefault="0006618D" w:rsidP="0006618D">
      <w:pPr>
        <w:rPr>
          <w:b/>
          <w:sz w:val="24"/>
        </w:rPr>
      </w:pPr>
    </w:p>
    <w:p w:rsidR="002B1075" w:rsidRDefault="002B1075" w:rsidP="0006618D">
      <w:pPr>
        <w:rPr>
          <w:b/>
          <w:sz w:val="24"/>
        </w:rPr>
      </w:pPr>
    </w:p>
    <w:p w:rsidR="002B1075" w:rsidRPr="0006618D" w:rsidRDefault="002B1075" w:rsidP="0006618D">
      <w:pPr>
        <w:rPr>
          <w:b/>
          <w:sz w:val="24"/>
        </w:rPr>
      </w:pPr>
    </w:p>
    <w:tbl>
      <w:tblPr>
        <w:tblW w:w="14288" w:type="dxa"/>
        <w:jc w:val="center"/>
        <w:tblLayout w:type="fixed"/>
        <w:tblCellMar>
          <w:left w:w="70" w:type="dxa"/>
          <w:right w:w="70" w:type="dxa"/>
        </w:tblCellMar>
        <w:tblLook w:val="0620" w:firstRow="1" w:lastRow="0" w:firstColumn="0" w:lastColumn="0" w:noHBand="1" w:noVBand="1"/>
      </w:tblPr>
      <w:tblGrid>
        <w:gridCol w:w="8531"/>
        <w:gridCol w:w="898"/>
        <w:gridCol w:w="980"/>
        <w:gridCol w:w="921"/>
        <w:gridCol w:w="993"/>
        <w:gridCol w:w="704"/>
        <w:gridCol w:w="1261"/>
      </w:tblGrid>
      <w:tr w:rsidR="006020E6" w:rsidRPr="00B9456D" w:rsidTr="00AF2EC7">
        <w:trPr>
          <w:trHeight w:val="488"/>
          <w:jc w:val="center"/>
        </w:trPr>
        <w:tc>
          <w:tcPr>
            <w:tcW w:w="14288" w:type="dxa"/>
            <w:gridSpan w:val="7"/>
            <w:tcBorders>
              <w:top w:val="single" w:sz="4" w:space="0" w:color="auto"/>
              <w:left w:val="single" w:sz="8" w:space="0" w:color="auto"/>
              <w:bottom w:val="single" w:sz="4" w:space="0" w:color="auto"/>
              <w:right w:val="single" w:sz="8" w:space="0" w:color="auto"/>
            </w:tcBorders>
            <w:shd w:val="clear" w:color="auto" w:fill="auto"/>
            <w:noWrap/>
            <w:vAlign w:val="center"/>
          </w:tcPr>
          <w:p w:rsidR="0006618D" w:rsidRDefault="0006618D" w:rsidP="00B2273E">
            <w:pPr>
              <w:spacing w:line="360" w:lineRule="auto"/>
              <w:rPr>
                <w:b/>
                <w:bCs/>
                <w:i/>
                <w:szCs w:val="22"/>
              </w:rPr>
            </w:pPr>
            <w:r>
              <w:rPr>
                <w:b/>
                <w:bCs/>
                <w:i/>
                <w:szCs w:val="22"/>
              </w:rPr>
              <w:t>Oneri per il fermo cantiere:</w:t>
            </w:r>
          </w:p>
          <w:p w:rsidR="006020E6" w:rsidRPr="00B9456D" w:rsidRDefault="0006618D" w:rsidP="0006618D">
            <w:pPr>
              <w:spacing w:line="360" w:lineRule="auto"/>
              <w:rPr>
                <w:b/>
                <w:bCs/>
                <w:i/>
                <w:szCs w:val="22"/>
              </w:rPr>
            </w:pPr>
            <w:proofErr w:type="gramStart"/>
            <w:r>
              <w:rPr>
                <w:b/>
                <w:bCs/>
                <w:i/>
                <w:szCs w:val="22"/>
              </w:rPr>
              <w:t>rimborso</w:t>
            </w:r>
            <w:proofErr w:type="gramEnd"/>
            <w:r>
              <w:rPr>
                <w:b/>
                <w:bCs/>
                <w:i/>
                <w:szCs w:val="22"/>
              </w:rPr>
              <w:t xml:space="preserve"> dei costi di nolo delle attrezzature installate</w:t>
            </w:r>
          </w:p>
        </w:tc>
      </w:tr>
      <w:tr w:rsidR="006020E6" w:rsidRPr="00B9456D" w:rsidTr="0006324F">
        <w:trPr>
          <w:cantSplit/>
          <w:trHeight w:val="284"/>
          <w:tblHeader/>
          <w:jc w:val="center"/>
        </w:trPr>
        <w:tc>
          <w:tcPr>
            <w:tcW w:w="8531" w:type="dxa"/>
            <w:tcBorders>
              <w:top w:val="single" w:sz="4" w:space="0" w:color="auto"/>
              <w:left w:val="single" w:sz="8" w:space="0" w:color="auto"/>
              <w:bottom w:val="single" w:sz="4" w:space="0" w:color="auto"/>
              <w:right w:val="single" w:sz="4" w:space="0" w:color="auto"/>
            </w:tcBorders>
            <w:shd w:val="clear" w:color="auto" w:fill="auto"/>
            <w:noWrap/>
            <w:vAlign w:val="center"/>
          </w:tcPr>
          <w:p w:rsidR="006020E6" w:rsidRPr="00B9456D" w:rsidRDefault="006020E6" w:rsidP="00B2273E">
            <w:pPr>
              <w:jc w:val="center"/>
              <w:rPr>
                <w:b/>
                <w:bCs/>
                <w:sz w:val="20"/>
                <w:szCs w:val="20"/>
              </w:rPr>
            </w:pPr>
            <w:r w:rsidRPr="00B9456D">
              <w:rPr>
                <w:b/>
                <w:bCs/>
                <w:sz w:val="20"/>
                <w:szCs w:val="20"/>
              </w:rPr>
              <w:t>Descrizione</w:t>
            </w:r>
          </w:p>
        </w:tc>
        <w:tc>
          <w:tcPr>
            <w:tcW w:w="898" w:type="dxa"/>
            <w:tcBorders>
              <w:top w:val="single" w:sz="4" w:space="0" w:color="auto"/>
              <w:left w:val="nil"/>
              <w:bottom w:val="single" w:sz="4" w:space="0" w:color="auto"/>
              <w:right w:val="single" w:sz="4" w:space="0" w:color="auto"/>
            </w:tcBorders>
            <w:shd w:val="clear" w:color="auto" w:fill="auto"/>
            <w:noWrap/>
            <w:vAlign w:val="center"/>
          </w:tcPr>
          <w:p w:rsidR="006020E6" w:rsidRPr="00B9456D" w:rsidRDefault="006020E6" w:rsidP="00B2273E">
            <w:pPr>
              <w:jc w:val="center"/>
              <w:rPr>
                <w:b/>
                <w:bCs/>
                <w:sz w:val="20"/>
                <w:szCs w:val="20"/>
              </w:rPr>
            </w:pPr>
            <w:r w:rsidRPr="00B9456D">
              <w:rPr>
                <w:b/>
                <w:bCs/>
                <w:sz w:val="20"/>
                <w:szCs w:val="20"/>
              </w:rPr>
              <w:t>Unità</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6020E6" w:rsidRPr="00B9456D" w:rsidRDefault="006020E6" w:rsidP="00B2273E">
            <w:pPr>
              <w:jc w:val="center"/>
              <w:rPr>
                <w:b/>
                <w:bCs/>
                <w:sz w:val="20"/>
                <w:szCs w:val="20"/>
              </w:rPr>
            </w:pPr>
            <w:r w:rsidRPr="00B9456D">
              <w:rPr>
                <w:b/>
                <w:bCs/>
                <w:sz w:val="20"/>
                <w:szCs w:val="20"/>
              </w:rPr>
              <w:t>Quantità</w:t>
            </w:r>
          </w:p>
        </w:tc>
        <w:tc>
          <w:tcPr>
            <w:tcW w:w="921" w:type="dxa"/>
            <w:tcBorders>
              <w:top w:val="single" w:sz="4" w:space="0" w:color="auto"/>
              <w:left w:val="nil"/>
              <w:bottom w:val="single" w:sz="4" w:space="0" w:color="auto"/>
              <w:right w:val="single" w:sz="4" w:space="0" w:color="auto"/>
            </w:tcBorders>
            <w:shd w:val="clear" w:color="auto" w:fill="auto"/>
            <w:vAlign w:val="center"/>
          </w:tcPr>
          <w:p w:rsidR="006020E6" w:rsidRPr="00B9456D" w:rsidRDefault="006020E6" w:rsidP="00B2273E">
            <w:pPr>
              <w:jc w:val="center"/>
              <w:rPr>
                <w:b/>
                <w:bCs/>
                <w:sz w:val="20"/>
                <w:szCs w:val="20"/>
              </w:rPr>
            </w:pPr>
            <w:r w:rsidRPr="00B9456D">
              <w:rPr>
                <w:b/>
                <w:bCs/>
                <w:sz w:val="20"/>
                <w:szCs w:val="20"/>
              </w:rPr>
              <w:t>Mesi</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020E6" w:rsidRPr="00B9456D" w:rsidRDefault="006020E6" w:rsidP="00B2273E">
            <w:pPr>
              <w:jc w:val="center"/>
              <w:rPr>
                <w:b/>
                <w:bCs/>
                <w:sz w:val="20"/>
                <w:szCs w:val="20"/>
              </w:rPr>
            </w:pPr>
            <w:r w:rsidRPr="00B9456D">
              <w:rPr>
                <w:b/>
                <w:bCs/>
                <w:sz w:val="20"/>
                <w:szCs w:val="20"/>
              </w:rPr>
              <w:t>Costo unitario</w:t>
            </w:r>
          </w:p>
        </w:tc>
        <w:tc>
          <w:tcPr>
            <w:tcW w:w="704" w:type="dxa"/>
            <w:tcBorders>
              <w:top w:val="single" w:sz="4" w:space="0" w:color="auto"/>
              <w:left w:val="nil"/>
              <w:bottom w:val="single" w:sz="4" w:space="0" w:color="auto"/>
              <w:right w:val="single" w:sz="4" w:space="0" w:color="auto"/>
            </w:tcBorders>
            <w:shd w:val="clear" w:color="auto" w:fill="auto"/>
            <w:noWrap/>
            <w:vAlign w:val="center"/>
          </w:tcPr>
          <w:p w:rsidR="006020E6" w:rsidRPr="0006324F" w:rsidRDefault="006020E6" w:rsidP="00B2273E">
            <w:pPr>
              <w:jc w:val="center"/>
              <w:rPr>
                <w:b/>
                <w:bCs/>
                <w:sz w:val="16"/>
                <w:szCs w:val="16"/>
              </w:rPr>
            </w:pPr>
            <w:r w:rsidRPr="0006324F">
              <w:rPr>
                <w:b/>
                <w:bCs/>
                <w:sz w:val="16"/>
                <w:szCs w:val="16"/>
              </w:rPr>
              <w:t>Costo a corpo</w:t>
            </w:r>
          </w:p>
        </w:tc>
        <w:tc>
          <w:tcPr>
            <w:tcW w:w="1261" w:type="dxa"/>
            <w:tcBorders>
              <w:top w:val="single" w:sz="4" w:space="0" w:color="auto"/>
              <w:left w:val="nil"/>
              <w:bottom w:val="single" w:sz="4" w:space="0" w:color="auto"/>
              <w:right w:val="single" w:sz="8" w:space="0" w:color="auto"/>
            </w:tcBorders>
            <w:shd w:val="clear" w:color="auto" w:fill="auto"/>
            <w:noWrap/>
            <w:vAlign w:val="center"/>
          </w:tcPr>
          <w:p w:rsidR="006020E6" w:rsidRPr="00B9456D" w:rsidRDefault="006020E6" w:rsidP="00B2273E">
            <w:pPr>
              <w:jc w:val="center"/>
              <w:rPr>
                <w:b/>
                <w:bCs/>
                <w:sz w:val="20"/>
                <w:szCs w:val="20"/>
              </w:rPr>
            </w:pPr>
            <w:r w:rsidRPr="00B9456D">
              <w:rPr>
                <w:b/>
                <w:bCs/>
                <w:sz w:val="20"/>
                <w:szCs w:val="20"/>
              </w:rPr>
              <w:t>TOTALE</w:t>
            </w:r>
          </w:p>
        </w:tc>
      </w:tr>
      <w:tr w:rsidR="006020E6" w:rsidTr="0006324F">
        <w:trPr>
          <w:cantSplit/>
          <w:trHeight w:val="374"/>
          <w:jc w:val="center"/>
        </w:trPr>
        <w:tc>
          <w:tcPr>
            <w:tcW w:w="8531" w:type="dxa"/>
            <w:tcBorders>
              <w:top w:val="single" w:sz="4" w:space="0" w:color="auto"/>
              <w:left w:val="single" w:sz="4" w:space="0" w:color="auto"/>
              <w:bottom w:val="single" w:sz="4" w:space="0" w:color="auto"/>
              <w:right w:val="single" w:sz="4" w:space="0" w:color="auto"/>
            </w:tcBorders>
            <w:shd w:val="clear" w:color="auto" w:fill="auto"/>
            <w:vAlign w:val="center"/>
          </w:tcPr>
          <w:p w:rsidR="006020E6" w:rsidRPr="005626AB" w:rsidRDefault="006020E6" w:rsidP="00B2273E">
            <w:pPr>
              <w:autoSpaceDE w:val="0"/>
              <w:autoSpaceDN w:val="0"/>
              <w:adjustRightInd w:val="0"/>
              <w:rPr>
                <w:rFonts w:ascii="Verdana" w:hAnsi="Verdana"/>
                <w:i/>
                <w:sz w:val="20"/>
                <w:szCs w:val="20"/>
              </w:rPr>
            </w:pPr>
            <w:r w:rsidRPr="005626AB">
              <w:rPr>
                <w:rFonts w:ascii="Verdana" w:hAnsi="Verdana"/>
                <w:i/>
                <w:sz w:val="20"/>
                <w:szCs w:val="20"/>
              </w:rPr>
              <w:t>Elenco prezzi Comune di Milano</w:t>
            </w:r>
            <w:r>
              <w:rPr>
                <w:rFonts w:ascii="Verdana" w:hAnsi="Verdana"/>
                <w:i/>
                <w:sz w:val="20"/>
                <w:szCs w:val="20"/>
              </w:rPr>
              <w:t xml:space="preserve"> ed.2011</w:t>
            </w:r>
            <w:r w:rsidRPr="005626AB">
              <w:rPr>
                <w:rFonts w:ascii="Verdana" w:hAnsi="Verdana"/>
                <w:i/>
                <w:sz w:val="20"/>
                <w:szCs w:val="20"/>
              </w:rPr>
              <w:t xml:space="preserve">- art. </w:t>
            </w:r>
            <w:r w:rsidRPr="0043331C">
              <w:rPr>
                <w:sz w:val="20"/>
                <w:szCs w:val="20"/>
              </w:rPr>
              <w:t>NC.10.450.0040</w:t>
            </w:r>
          </w:p>
          <w:p w:rsidR="006020E6" w:rsidRDefault="006020E6" w:rsidP="00B2273E">
            <w:pPr>
              <w:rPr>
                <w:rFonts w:ascii="Verdana" w:hAnsi="Verdana"/>
                <w:sz w:val="20"/>
                <w:szCs w:val="20"/>
              </w:rPr>
            </w:pPr>
          </w:p>
          <w:p w:rsidR="006020E6" w:rsidRDefault="006020E6" w:rsidP="00B2273E">
            <w:pPr>
              <w:rPr>
                <w:rFonts w:ascii="Verdana" w:hAnsi="Verdana"/>
                <w:sz w:val="20"/>
                <w:szCs w:val="20"/>
              </w:rPr>
            </w:pPr>
            <w:r w:rsidRPr="00252DC8">
              <w:rPr>
                <w:rFonts w:ascii="Verdana" w:hAnsi="Verdana"/>
                <w:sz w:val="20"/>
                <w:szCs w:val="20"/>
              </w:rPr>
              <w:t>Recinzione realizzata con rete metallica in filo di ferro zincato, altezza m 2, ancorata a pali di sostegno in profilati metallici a T, oppure a pali di legno, con blocchetti di fondazione in calcestruzzo; compreso il montaggio, lo sfrido, il noleggio per tutta la durata dei lavori, la manutenzione, la segnaletica, lo smontaggio.</w:t>
            </w:r>
          </w:p>
          <w:p w:rsidR="006020E6" w:rsidRPr="00BB71EE" w:rsidRDefault="006020E6" w:rsidP="00B2273E">
            <w:pPr>
              <w:rPr>
                <w:rFonts w:ascii="CMR10" w:hAnsi="CMR10" w:cs="CMR10"/>
                <w:sz w:val="20"/>
                <w:szCs w:val="20"/>
              </w:rPr>
            </w:pPr>
            <w:r>
              <w:rPr>
                <w:rFonts w:ascii="Verdana" w:hAnsi="Verdana"/>
                <w:sz w:val="20"/>
                <w:szCs w:val="20"/>
              </w:rPr>
              <w:t>PROTEZIONE AREA DI SCAVO</w:t>
            </w:r>
          </w:p>
        </w:tc>
        <w:tc>
          <w:tcPr>
            <w:tcW w:w="898" w:type="dxa"/>
            <w:tcBorders>
              <w:top w:val="single" w:sz="4" w:space="0" w:color="auto"/>
              <w:left w:val="nil"/>
              <w:bottom w:val="single" w:sz="4" w:space="0" w:color="auto"/>
              <w:right w:val="single" w:sz="4" w:space="0" w:color="auto"/>
            </w:tcBorders>
            <w:shd w:val="clear" w:color="auto" w:fill="auto"/>
            <w:noWrap/>
            <w:vAlign w:val="center"/>
          </w:tcPr>
          <w:p w:rsidR="006020E6" w:rsidRPr="00252DC8" w:rsidRDefault="006020E6" w:rsidP="00B2273E">
            <w:pPr>
              <w:ind w:right="168"/>
              <w:jc w:val="center"/>
              <w:rPr>
                <w:sz w:val="21"/>
                <w:szCs w:val="21"/>
                <w:vertAlign w:val="superscript"/>
              </w:rPr>
            </w:pPr>
            <w:proofErr w:type="gramStart"/>
            <w:r>
              <w:rPr>
                <w:sz w:val="21"/>
                <w:szCs w:val="21"/>
              </w:rPr>
              <w:t>m</w:t>
            </w:r>
            <w:proofErr w:type="gramEnd"/>
            <w:r>
              <w:rPr>
                <w:sz w:val="21"/>
                <w:szCs w:val="21"/>
                <w:vertAlign w:val="superscript"/>
              </w:rPr>
              <w:t>2</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6020E6" w:rsidRDefault="006020E6" w:rsidP="00B2273E">
            <w:pPr>
              <w:ind w:right="168"/>
              <w:jc w:val="center"/>
              <w:rPr>
                <w:sz w:val="21"/>
                <w:szCs w:val="21"/>
              </w:rPr>
            </w:pPr>
            <w:r>
              <w:rPr>
                <w:sz w:val="21"/>
                <w:szCs w:val="21"/>
              </w:rPr>
              <w:t>472</w:t>
            </w:r>
          </w:p>
        </w:tc>
        <w:tc>
          <w:tcPr>
            <w:tcW w:w="921" w:type="dxa"/>
            <w:tcBorders>
              <w:top w:val="single" w:sz="4" w:space="0" w:color="auto"/>
              <w:left w:val="nil"/>
              <w:bottom w:val="single" w:sz="4" w:space="0" w:color="auto"/>
              <w:right w:val="single" w:sz="4" w:space="0" w:color="auto"/>
            </w:tcBorders>
            <w:shd w:val="clear" w:color="auto" w:fill="auto"/>
            <w:vAlign w:val="center"/>
          </w:tcPr>
          <w:p w:rsidR="0006324F" w:rsidRDefault="0006324F" w:rsidP="0006324F">
            <w:pPr>
              <w:ind w:right="168"/>
              <w:jc w:val="center"/>
              <w:rPr>
                <w:sz w:val="21"/>
                <w:szCs w:val="21"/>
              </w:rPr>
            </w:pPr>
            <w:r>
              <w:rPr>
                <w:sz w:val="21"/>
                <w:szCs w:val="21"/>
              </w:rPr>
              <w:t>0,35</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6020E6" w:rsidRDefault="006020E6" w:rsidP="00B2273E">
            <w:pPr>
              <w:ind w:right="168"/>
              <w:jc w:val="center"/>
              <w:rPr>
                <w:sz w:val="21"/>
                <w:szCs w:val="21"/>
              </w:rPr>
            </w:pPr>
            <w:r w:rsidRPr="00252DC8">
              <w:rPr>
                <w:sz w:val="21"/>
                <w:szCs w:val="21"/>
              </w:rPr>
              <w:t>8,64</w:t>
            </w:r>
          </w:p>
        </w:tc>
        <w:tc>
          <w:tcPr>
            <w:tcW w:w="704" w:type="dxa"/>
            <w:tcBorders>
              <w:top w:val="single" w:sz="4" w:space="0" w:color="auto"/>
              <w:left w:val="nil"/>
              <w:bottom w:val="single" w:sz="4" w:space="0" w:color="auto"/>
              <w:right w:val="single" w:sz="4" w:space="0" w:color="auto"/>
            </w:tcBorders>
            <w:shd w:val="clear" w:color="auto" w:fill="auto"/>
            <w:noWrap/>
            <w:vAlign w:val="center"/>
          </w:tcPr>
          <w:p w:rsidR="006020E6" w:rsidRPr="00886656" w:rsidRDefault="006020E6" w:rsidP="0006324F">
            <w:pPr>
              <w:ind w:right="168"/>
              <w:rPr>
                <w:sz w:val="21"/>
                <w:szCs w:val="21"/>
              </w:rPr>
            </w:pPr>
          </w:p>
        </w:tc>
        <w:tc>
          <w:tcPr>
            <w:tcW w:w="1261" w:type="dxa"/>
            <w:tcBorders>
              <w:top w:val="single" w:sz="4" w:space="0" w:color="auto"/>
              <w:left w:val="nil"/>
              <w:bottom w:val="single" w:sz="4" w:space="0" w:color="auto"/>
              <w:right w:val="single" w:sz="4" w:space="0" w:color="auto"/>
            </w:tcBorders>
            <w:shd w:val="clear" w:color="auto" w:fill="auto"/>
            <w:noWrap/>
            <w:vAlign w:val="center"/>
          </w:tcPr>
          <w:p w:rsidR="006020E6" w:rsidRPr="00EE298C" w:rsidRDefault="0006324F" w:rsidP="00B2273E">
            <w:pPr>
              <w:ind w:right="168"/>
              <w:jc w:val="center"/>
              <w:rPr>
                <w:sz w:val="21"/>
                <w:szCs w:val="21"/>
              </w:rPr>
            </w:pPr>
            <w:r>
              <w:rPr>
                <w:sz w:val="21"/>
                <w:szCs w:val="21"/>
              </w:rPr>
              <w:t>1.427,33</w:t>
            </w:r>
          </w:p>
        </w:tc>
      </w:tr>
      <w:tr w:rsidR="0006324F" w:rsidTr="0006324F">
        <w:trPr>
          <w:cantSplit/>
          <w:trHeight w:val="374"/>
          <w:jc w:val="center"/>
        </w:trPr>
        <w:tc>
          <w:tcPr>
            <w:tcW w:w="8531" w:type="dxa"/>
            <w:tcBorders>
              <w:top w:val="single" w:sz="4" w:space="0" w:color="auto"/>
              <w:left w:val="single" w:sz="4" w:space="0" w:color="auto"/>
              <w:bottom w:val="single" w:sz="4" w:space="0" w:color="auto"/>
              <w:right w:val="single" w:sz="4" w:space="0" w:color="auto"/>
            </w:tcBorders>
            <w:shd w:val="clear" w:color="auto" w:fill="auto"/>
            <w:vAlign w:val="center"/>
          </w:tcPr>
          <w:p w:rsidR="0006324F" w:rsidRPr="005626AB" w:rsidRDefault="0006324F" w:rsidP="0006324F">
            <w:pPr>
              <w:autoSpaceDE w:val="0"/>
              <w:autoSpaceDN w:val="0"/>
              <w:adjustRightInd w:val="0"/>
              <w:rPr>
                <w:rFonts w:ascii="Verdana" w:hAnsi="Verdana"/>
                <w:i/>
                <w:sz w:val="20"/>
                <w:szCs w:val="20"/>
              </w:rPr>
            </w:pPr>
            <w:r w:rsidRPr="005626AB">
              <w:rPr>
                <w:rFonts w:ascii="Verdana" w:hAnsi="Verdana"/>
                <w:i/>
                <w:sz w:val="20"/>
                <w:szCs w:val="20"/>
              </w:rPr>
              <w:t xml:space="preserve">Elenco prezzi </w:t>
            </w:r>
            <w:r>
              <w:rPr>
                <w:rFonts w:ascii="Verdana" w:hAnsi="Verdana"/>
                <w:i/>
                <w:sz w:val="20"/>
                <w:szCs w:val="20"/>
              </w:rPr>
              <w:t>Regione Lombardia ed. 2010</w:t>
            </w:r>
            <w:r w:rsidRPr="005626AB">
              <w:rPr>
                <w:rFonts w:ascii="Verdana" w:hAnsi="Verdana"/>
                <w:i/>
                <w:sz w:val="20"/>
                <w:szCs w:val="20"/>
              </w:rPr>
              <w:t xml:space="preserve">- art. </w:t>
            </w:r>
            <w:r w:rsidRPr="002761A6">
              <w:rPr>
                <w:sz w:val="20"/>
                <w:szCs w:val="20"/>
              </w:rPr>
              <w:t>M15025.c</w:t>
            </w:r>
          </w:p>
          <w:p w:rsidR="0006324F" w:rsidRDefault="0006324F" w:rsidP="0006324F">
            <w:pPr>
              <w:ind w:right="168"/>
              <w:rPr>
                <w:rFonts w:ascii="Verdana" w:hAnsi="Verdana"/>
                <w:sz w:val="20"/>
                <w:szCs w:val="20"/>
              </w:rPr>
            </w:pPr>
          </w:p>
          <w:p w:rsidR="0006324F" w:rsidRPr="00897B9F" w:rsidRDefault="0006324F" w:rsidP="0006324F">
            <w:pPr>
              <w:ind w:right="168"/>
              <w:rPr>
                <w:rFonts w:ascii="Verdana" w:hAnsi="Verdana"/>
                <w:sz w:val="20"/>
                <w:szCs w:val="20"/>
              </w:rPr>
            </w:pPr>
            <w:r w:rsidRPr="005E7AA0">
              <w:rPr>
                <w:rFonts w:ascii="Verdana" w:hAnsi="Verdana"/>
                <w:sz w:val="20"/>
                <w:szCs w:val="20"/>
              </w:rPr>
              <w:t xml:space="preserve">Cartelli di pericolo (colore giallo), conformi al </w:t>
            </w:r>
            <w:proofErr w:type="spellStart"/>
            <w:r w:rsidRPr="005E7AA0">
              <w:rPr>
                <w:rFonts w:ascii="Verdana" w:hAnsi="Verdana"/>
                <w:sz w:val="20"/>
                <w:szCs w:val="20"/>
              </w:rPr>
              <w:t>Dlgs</w:t>
            </w:r>
            <w:proofErr w:type="spellEnd"/>
            <w:r w:rsidRPr="005E7AA0">
              <w:rPr>
                <w:rFonts w:ascii="Verdana" w:hAnsi="Verdana"/>
                <w:sz w:val="20"/>
                <w:szCs w:val="20"/>
              </w:rPr>
              <w:t xml:space="preserve"> 81/08, in lamiera di alluminio 5/10, con pellicola adesiva rifrangente; costo di utilizzo mensile: 500 x </w:t>
            </w:r>
            <w:smartTag w:uri="urn:schemas-microsoft-com:office:smarttags" w:element="metricconverter">
              <w:smartTagPr>
                <w:attr w:name="ProductID" w:val="330 mm"/>
              </w:smartTagPr>
              <w:r w:rsidRPr="005E7AA0">
                <w:rPr>
                  <w:rFonts w:ascii="Verdana" w:hAnsi="Verdana"/>
                  <w:sz w:val="20"/>
                  <w:szCs w:val="20"/>
                </w:rPr>
                <w:t>330 mm</w:t>
              </w:r>
            </w:smartTag>
          </w:p>
        </w:tc>
        <w:tc>
          <w:tcPr>
            <w:tcW w:w="898" w:type="dxa"/>
            <w:tcBorders>
              <w:top w:val="single" w:sz="4" w:space="0" w:color="auto"/>
              <w:left w:val="nil"/>
              <w:bottom w:val="single" w:sz="4" w:space="0" w:color="auto"/>
              <w:right w:val="single" w:sz="4" w:space="0" w:color="auto"/>
            </w:tcBorders>
            <w:shd w:val="clear" w:color="auto" w:fill="auto"/>
            <w:noWrap/>
            <w:vAlign w:val="center"/>
          </w:tcPr>
          <w:p w:rsidR="0006324F" w:rsidRDefault="0006324F" w:rsidP="0006324F">
            <w:pPr>
              <w:ind w:right="168"/>
              <w:jc w:val="center"/>
              <w:rPr>
                <w:sz w:val="21"/>
                <w:szCs w:val="21"/>
              </w:rPr>
            </w:pPr>
            <w:proofErr w:type="spellStart"/>
            <w:proofErr w:type="gramStart"/>
            <w:r>
              <w:rPr>
                <w:sz w:val="21"/>
                <w:szCs w:val="21"/>
              </w:rPr>
              <w:t>cad</w:t>
            </w:r>
            <w:proofErr w:type="spellEnd"/>
            <w:proofErr w:type="gramEnd"/>
          </w:p>
        </w:tc>
        <w:tc>
          <w:tcPr>
            <w:tcW w:w="980" w:type="dxa"/>
            <w:tcBorders>
              <w:top w:val="single" w:sz="4" w:space="0" w:color="auto"/>
              <w:left w:val="nil"/>
              <w:bottom w:val="single" w:sz="4" w:space="0" w:color="auto"/>
              <w:right w:val="single" w:sz="4" w:space="0" w:color="auto"/>
            </w:tcBorders>
            <w:shd w:val="clear" w:color="auto" w:fill="auto"/>
            <w:noWrap/>
            <w:vAlign w:val="center"/>
          </w:tcPr>
          <w:p w:rsidR="0006324F" w:rsidRDefault="0006324F" w:rsidP="0006324F">
            <w:pPr>
              <w:ind w:right="168"/>
              <w:jc w:val="center"/>
              <w:rPr>
                <w:sz w:val="21"/>
                <w:szCs w:val="21"/>
              </w:rPr>
            </w:pPr>
            <w:r>
              <w:rPr>
                <w:sz w:val="21"/>
                <w:szCs w:val="21"/>
              </w:rPr>
              <w:t>5</w:t>
            </w:r>
          </w:p>
        </w:tc>
        <w:tc>
          <w:tcPr>
            <w:tcW w:w="921" w:type="dxa"/>
            <w:tcBorders>
              <w:top w:val="single" w:sz="4" w:space="0" w:color="auto"/>
              <w:left w:val="nil"/>
              <w:bottom w:val="single" w:sz="4" w:space="0" w:color="auto"/>
              <w:right w:val="single" w:sz="4" w:space="0" w:color="auto"/>
            </w:tcBorders>
            <w:shd w:val="clear" w:color="auto" w:fill="auto"/>
            <w:vAlign w:val="center"/>
          </w:tcPr>
          <w:p w:rsidR="0006324F" w:rsidRDefault="0006324F" w:rsidP="0006324F">
            <w:pPr>
              <w:ind w:right="168"/>
              <w:rPr>
                <w:sz w:val="21"/>
                <w:szCs w:val="21"/>
              </w:rPr>
            </w:pPr>
            <w:r>
              <w:rPr>
                <w:sz w:val="21"/>
                <w:szCs w:val="21"/>
              </w:rPr>
              <w:t>4,2</w:t>
            </w:r>
          </w:p>
        </w:tc>
        <w:tc>
          <w:tcPr>
            <w:tcW w:w="993" w:type="dxa"/>
            <w:tcBorders>
              <w:top w:val="single" w:sz="4" w:space="0" w:color="auto"/>
              <w:left w:val="nil"/>
              <w:bottom w:val="single" w:sz="4" w:space="0" w:color="auto"/>
              <w:right w:val="single" w:sz="4" w:space="0" w:color="auto"/>
            </w:tcBorders>
            <w:shd w:val="clear" w:color="auto" w:fill="auto"/>
            <w:noWrap/>
            <w:vAlign w:val="center"/>
          </w:tcPr>
          <w:p w:rsidR="0006324F" w:rsidRDefault="0006324F" w:rsidP="0006324F">
            <w:pPr>
              <w:ind w:right="168"/>
              <w:jc w:val="center"/>
              <w:rPr>
                <w:sz w:val="21"/>
                <w:szCs w:val="21"/>
              </w:rPr>
            </w:pPr>
            <w:r>
              <w:rPr>
                <w:sz w:val="21"/>
                <w:szCs w:val="21"/>
              </w:rPr>
              <w:t>0,42</w:t>
            </w:r>
          </w:p>
        </w:tc>
        <w:tc>
          <w:tcPr>
            <w:tcW w:w="704" w:type="dxa"/>
            <w:tcBorders>
              <w:top w:val="single" w:sz="4" w:space="0" w:color="auto"/>
              <w:left w:val="nil"/>
              <w:bottom w:val="single" w:sz="4" w:space="0" w:color="auto"/>
              <w:right w:val="single" w:sz="4" w:space="0" w:color="auto"/>
            </w:tcBorders>
            <w:shd w:val="clear" w:color="auto" w:fill="auto"/>
            <w:noWrap/>
            <w:vAlign w:val="center"/>
          </w:tcPr>
          <w:p w:rsidR="0006324F" w:rsidRPr="00EE298C" w:rsidRDefault="0006324F" w:rsidP="0006324F">
            <w:pPr>
              <w:ind w:right="168"/>
              <w:jc w:val="center"/>
              <w:rPr>
                <w:sz w:val="21"/>
                <w:szCs w:val="21"/>
              </w:rPr>
            </w:pPr>
          </w:p>
        </w:tc>
        <w:tc>
          <w:tcPr>
            <w:tcW w:w="1261" w:type="dxa"/>
            <w:tcBorders>
              <w:top w:val="single" w:sz="4" w:space="0" w:color="auto"/>
              <w:left w:val="nil"/>
              <w:bottom w:val="single" w:sz="4" w:space="0" w:color="auto"/>
              <w:right w:val="single" w:sz="4" w:space="0" w:color="auto"/>
            </w:tcBorders>
            <w:shd w:val="clear" w:color="auto" w:fill="auto"/>
            <w:noWrap/>
            <w:vAlign w:val="center"/>
          </w:tcPr>
          <w:p w:rsidR="0006324F" w:rsidRPr="00EE298C" w:rsidRDefault="0006324F" w:rsidP="0006324F">
            <w:pPr>
              <w:ind w:right="168"/>
              <w:jc w:val="center"/>
              <w:rPr>
                <w:sz w:val="21"/>
                <w:szCs w:val="21"/>
              </w:rPr>
            </w:pPr>
            <w:r>
              <w:rPr>
                <w:sz w:val="21"/>
                <w:szCs w:val="21"/>
              </w:rPr>
              <w:t>8,82</w:t>
            </w:r>
          </w:p>
        </w:tc>
      </w:tr>
    </w:tbl>
    <w:p w:rsidR="00AF2EC7" w:rsidRDefault="00AF2EC7">
      <w:r>
        <w:br w:type="page"/>
      </w:r>
    </w:p>
    <w:tbl>
      <w:tblPr>
        <w:tblW w:w="14288" w:type="dxa"/>
        <w:jc w:val="center"/>
        <w:tblLayout w:type="fixed"/>
        <w:tblCellMar>
          <w:left w:w="70" w:type="dxa"/>
          <w:right w:w="70" w:type="dxa"/>
        </w:tblCellMar>
        <w:tblLook w:val="0620" w:firstRow="1" w:lastRow="0" w:firstColumn="0" w:lastColumn="0" w:noHBand="1" w:noVBand="1"/>
      </w:tblPr>
      <w:tblGrid>
        <w:gridCol w:w="8531"/>
        <w:gridCol w:w="898"/>
        <w:gridCol w:w="980"/>
        <w:gridCol w:w="658"/>
        <w:gridCol w:w="977"/>
        <w:gridCol w:w="983"/>
        <w:gridCol w:w="1261"/>
      </w:tblGrid>
      <w:tr w:rsidR="00AF2EC7" w:rsidRPr="00B9456D" w:rsidTr="0006324F">
        <w:trPr>
          <w:cantSplit/>
          <w:trHeight w:val="284"/>
          <w:tblHeader/>
          <w:jc w:val="center"/>
        </w:trPr>
        <w:tc>
          <w:tcPr>
            <w:tcW w:w="8531" w:type="dxa"/>
            <w:tcBorders>
              <w:top w:val="single" w:sz="4" w:space="0" w:color="auto"/>
              <w:left w:val="single" w:sz="8" w:space="0" w:color="auto"/>
              <w:bottom w:val="single" w:sz="4" w:space="0" w:color="auto"/>
              <w:right w:val="single" w:sz="4" w:space="0" w:color="auto"/>
            </w:tcBorders>
            <w:shd w:val="clear" w:color="auto" w:fill="auto"/>
            <w:noWrap/>
            <w:vAlign w:val="center"/>
          </w:tcPr>
          <w:p w:rsidR="00AF2EC7" w:rsidRPr="00B9456D" w:rsidRDefault="00AF2EC7" w:rsidP="00C22E78">
            <w:pPr>
              <w:jc w:val="center"/>
              <w:rPr>
                <w:b/>
                <w:bCs/>
                <w:sz w:val="20"/>
                <w:szCs w:val="20"/>
              </w:rPr>
            </w:pPr>
            <w:r w:rsidRPr="00B9456D">
              <w:rPr>
                <w:b/>
                <w:bCs/>
                <w:sz w:val="20"/>
                <w:szCs w:val="20"/>
              </w:rPr>
              <w:lastRenderedPageBreak/>
              <w:t>Descrizione</w:t>
            </w:r>
          </w:p>
        </w:tc>
        <w:tc>
          <w:tcPr>
            <w:tcW w:w="898" w:type="dxa"/>
            <w:tcBorders>
              <w:top w:val="single" w:sz="4" w:space="0" w:color="auto"/>
              <w:left w:val="nil"/>
              <w:bottom w:val="single" w:sz="4" w:space="0" w:color="auto"/>
              <w:right w:val="single" w:sz="4" w:space="0" w:color="auto"/>
            </w:tcBorders>
            <w:shd w:val="clear" w:color="auto" w:fill="auto"/>
            <w:noWrap/>
            <w:vAlign w:val="center"/>
          </w:tcPr>
          <w:p w:rsidR="00AF2EC7" w:rsidRPr="00B9456D" w:rsidRDefault="00AF2EC7" w:rsidP="00C22E78">
            <w:pPr>
              <w:jc w:val="center"/>
              <w:rPr>
                <w:b/>
                <w:bCs/>
                <w:sz w:val="20"/>
                <w:szCs w:val="20"/>
              </w:rPr>
            </w:pPr>
            <w:r w:rsidRPr="00B9456D">
              <w:rPr>
                <w:b/>
                <w:bCs/>
                <w:sz w:val="20"/>
                <w:szCs w:val="20"/>
              </w:rPr>
              <w:t>Unità</w:t>
            </w:r>
          </w:p>
        </w:tc>
        <w:tc>
          <w:tcPr>
            <w:tcW w:w="980" w:type="dxa"/>
            <w:tcBorders>
              <w:top w:val="single" w:sz="4" w:space="0" w:color="auto"/>
              <w:left w:val="nil"/>
              <w:bottom w:val="single" w:sz="4" w:space="0" w:color="auto"/>
              <w:right w:val="single" w:sz="4" w:space="0" w:color="auto"/>
            </w:tcBorders>
            <w:shd w:val="clear" w:color="auto" w:fill="auto"/>
            <w:noWrap/>
            <w:vAlign w:val="center"/>
          </w:tcPr>
          <w:p w:rsidR="00AF2EC7" w:rsidRPr="00B9456D" w:rsidRDefault="00AF2EC7" w:rsidP="00C22E78">
            <w:pPr>
              <w:jc w:val="center"/>
              <w:rPr>
                <w:b/>
                <w:bCs/>
                <w:sz w:val="20"/>
                <w:szCs w:val="20"/>
              </w:rPr>
            </w:pPr>
            <w:r w:rsidRPr="00B9456D">
              <w:rPr>
                <w:b/>
                <w:bCs/>
                <w:sz w:val="20"/>
                <w:szCs w:val="20"/>
              </w:rPr>
              <w:t>Quantità</w:t>
            </w:r>
          </w:p>
        </w:tc>
        <w:tc>
          <w:tcPr>
            <w:tcW w:w="658" w:type="dxa"/>
            <w:tcBorders>
              <w:top w:val="single" w:sz="4" w:space="0" w:color="auto"/>
              <w:left w:val="nil"/>
              <w:bottom w:val="single" w:sz="4" w:space="0" w:color="auto"/>
              <w:right w:val="single" w:sz="4" w:space="0" w:color="auto"/>
            </w:tcBorders>
            <w:shd w:val="clear" w:color="auto" w:fill="auto"/>
            <w:vAlign w:val="center"/>
          </w:tcPr>
          <w:p w:rsidR="00AF2EC7" w:rsidRPr="00B9456D" w:rsidRDefault="00AF2EC7" w:rsidP="00C22E78">
            <w:pPr>
              <w:jc w:val="center"/>
              <w:rPr>
                <w:b/>
                <w:bCs/>
                <w:sz w:val="20"/>
                <w:szCs w:val="20"/>
              </w:rPr>
            </w:pPr>
            <w:r w:rsidRPr="00B9456D">
              <w:rPr>
                <w:b/>
                <w:bCs/>
                <w:sz w:val="20"/>
                <w:szCs w:val="20"/>
              </w:rPr>
              <w:t>Mesi</w:t>
            </w:r>
          </w:p>
        </w:tc>
        <w:tc>
          <w:tcPr>
            <w:tcW w:w="977" w:type="dxa"/>
            <w:tcBorders>
              <w:top w:val="single" w:sz="4" w:space="0" w:color="auto"/>
              <w:left w:val="nil"/>
              <w:bottom w:val="single" w:sz="4" w:space="0" w:color="auto"/>
              <w:right w:val="single" w:sz="4" w:space="0" w:color="auto"/>
            </w:tcBorders>
            <w:shd w:val="clear" w:color="auto" w:fill="auto"/>
            <w:noWrap/>
            <w:vAlign w:val="center"/>
          </w:tcPr>
          <w:p w:rsidR="00AF2EC7" w:rsidRPr="00B9456D" w:rsidRDefault="00AF2EC7" w:rsidP="00C22E78">
            <w:pPr>
              <w:jc w:val="center"/>
              <w:rPr>
                <w:b/>
                <w:bCs/>
                <w:sz w:val="20"/>
                <w:szCs w:val="20"/>
              </w:rPr>
            </w:pPr>
            <w:r w:rsidRPr="00B9456D">
              <w:rPr>
                <w:b/>
                <w:bCs/>
                <w:sz w:val="20"/>
                <w:szCs w:val="20"/>
              </w:rPr>
              <w:t>Costo unitario</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AF2EC7" w:rsidRPr="00B9456D" w:rsidRDefault="00AF2EC7" w:rsidP="00C22E78">
            <w:pPr>
              <w:jc w:val="center"/>
              <w:rPr>
                <w:b/>
                <w:bCs/>
                <w:sz w:val="20"/>
                <w:szCs w:val="20"/>
              </w:rPr>
            </w:pPr>
            <w:r w:rsidRPr="00B9456D">
              <w:rPr>
                <w:b/>
                <w:bCs/>
                <w:sz w:val="20"/>
                <w:szCs w:val="20"/>
              </w:rPr>
              <w:t>Costo a corpo</w:t>
            </w:r>
          </w:p>
        </w:tc>
        <w:tc>
          <w:tcPr>
            <w:tcW w:w="1261" w:type="dxa"/>
            <w:tcBorders>
              <w:top w:val="single" w:sz="4" w:space="0" w:color="auto"/>
              <w:left w:val="nil"/>
              <w:bottom w:val="single" w:sz="4" w:space="0" w:color="auto"/>
              <w:right w:val="single" w:sz="8" w:space="0" w:color="auto"/>
            </w:tcBorders>
            <w:shd w:val="clear" w:color="auto" w:fill="auto"/>
            <w:noWrap/>
            <w:vAlign w:val="center"/>
          </w:tcPr>
          <w:p w:rsidR="00AF2EC7" w:rsidRPr="00B9456D" w:rsidRDefault="00AF2EC7" w:rsidP="00C22E78">
            <w:pPr>
              <w:jc w:val="center"/>
              <w:rPr>
                <w:b/>
                <w:bCs/>
                <w:sz w:val="20"/>
                <w:szCs w:val="20"/>
              </w:rPr>
            </w:pPr>
            <w:r w:rsidRPr="00B9456D">
              <w:rPr>
                <w:b/>
                <w:bCs/>
                <w:sz w:val="20"/>
                <w:szCs w:val="20"/>
              </w:rPr>
              <w:t>TOTALE</w:t>
            </w:r>
          </w:p>
        </w:tc>
      </w:tr>
      <w:tr w:rsidR="006020E6" w:rsidRPr="00EE298C" w:rsidTr="0006324F">
        <w:trPr>
          <w:cantSplit/>
          <w:trHeight w:val="374"/>
          <w:jc w:val="center"/>
        </w:trPr>
        <w:tc>
          <w:tcPr>
            <w:tcW w:w="8531" w:type="dxa"/>
            <w:tcBorders>
              <w:top w:val="single" w:sz="4" w:space="0" w:color="auto"/>
              <w:left w:val="single" w:sz="4" w:space="0" w:color="auto"/>
              <w:bottom w:val="single" w:sz="4" w:space="0" w:color="auto"/>
              <w:right w:val="single" w:sz="4" w:space="0" w:color="auto"/>
            </w:tcBorders>
            <w:shd w:val="clear" w:color="auto" w:fill="auto"/>
            <w:vAlign w:val="center"/>
          </w:tcPr>
          <w:p w:rsidR="006020E6" w:rsidRPr="005626AB" w:rsidRDefault="006020E6" w:rsidP="00B2273E">
            <w:pPr>
              <w:autoSpaceDE w:val="0"/>
              <w:autoSpaceDN w:val="0"/>
              <w:adjustRightInd w:val="0"/>
              <w:rPr>
                <w:rFonts w:ascii="Verdana" w:hAnsi="Verdana"/>
                <w:i/>
                <w:sz w:val="20"/>
                <w:szCs w:val="20"/>
              </w:rPr>
            </w:pPr>
            <w:r w:rsidRPr="005626AB">
              <w:rPr>
                <w:rFonts w:ascii="Verdana" w:hAnsi="Verdana"/>
                <w:i/>
                <w:sz w:val="20"/>
                <w:szCs w:val="20"/>
              </w:rPr>
              <w:t xml:space="preserve">Elenco prezzi </w:t>
            </w:r>
            <w:r>
              <w:rPr>
                <w:rFonts w:ascii="Verdana" w:hAnsi="Verdana"/>
                <w:i/>
                <w:sz w:val="20"/>
                <w:szCs w:val="20"/>
              </w:rPr>
              <w:t>Regione Lombardia ed. 2010</w:t>
            </w:r>
            <w:r w:rsidRPr="005626AB">
              <w:rPr>
                <w:rFonts w:ascii="Verdana" w:hAnsi="Verdana"/>
                <w:i/>
                <w:sz w:val="20"/>
                <w:szCs w:val="20"/>
              </w:rPr>
              <w:t xml:space="preserve">- art. </w:t>
            </w:r>
            <w:r w:rsidRPr="00C160E6">
              <w:rPr>
                <w:sz w:val="20"/>
                <w:szCs w:val="20"/>
              </w:rPr>
              <w:t>M15009.c</w:t>
            </w:r>
          </w:p>
          <w:p w:rsidR="006020E6" w:rsidRDefault="006020E6" w:rsidP="00B2273E">
            <w:pPr>
              <w:ind w:right="168"/>
              <w:rPr>
                <w:rFonts w:ascii="Verdana" w:hAnsi="Verdana"/>
                <w:sz w:val="20"/>
                <w:szCs w:val="20"/>
              </w:rPr>
            </w:pPr>
          </w:p>
          <w:p w:rsidR="006020E6" w:rsidRDefault="006020E6" w:rsidP="00B2273E">
            <w:pPr>
              <w:ind w:right="168"/>
              <w:rPr>
                <w:rFonts w:ascii="Verdana" w:hAnsi="Verdana"/>
                <w:sz w:val="20"/>
                <w:szCs w:val="20"/>
              </w:rPr>
            </w:pPr>
            <w:r w:rsidRPr="005E7AA0">
              <w:rPr>
                <w:rFonts w:ascii="Verdana" w:hAnsi="Verdana"/>
                <w:sz w:val="20"/>
                <w:szCs w:val="20"/>
              </w:rPr>
              <w:t xml:space="preserve">Prefabbricato modulare componibile, con possibilità di aggregazione verticale e orizzontale, costituito da una struttura in profili di acciaio (montanti angolari, tetto e basamento) e pannelli di tamponatura rimovibili. Tetto in lamiera zincata da 6/10 dotato di struttura che permette il sollevamento dall'alto o di tasche per il sollevamento con carrello elevatore, soffitto e pareti in pannelli sandwich da </w:t>
            </w:r>
            <w:smartTag w:uri="urn:schemas-microsoft-com:office:smarttags" w:element="metricconverter">
              <w:smartTagPr>
                <w:attr w:name="ProductID" w:val="40 mm"/>
              </w:smartTagPr>
              <w:r w:rsidRPr="005E7AA0">
                <w:rPr>
                  <w:rFonts w:ascii="Verdana" w:hAnsi="Verdana"/>
                  <w:sz w:val="20"/>
                  <w:szCs w:val="20"/>
                </w:rPr>
                <w:t>40 mm</w:t>
              </w:r>
            </w:smartTag>
            <w:r w:rsidRPr="005E7AA0">
              <w:rPr>
                <w:rFonts w:ascii="Verdana" w:hAnsi="Verdana"/>
                <w:sz w:val="20"/>
                <w:szCs w:val="20"/>
              </w:rPr>
              <w:t xml:space="preserve">, con due lamiere d'acciaio zincate e </w:t>
            </w:r>
            <w:proofErr w:type="spellStart"/>
            <w:r w:rsidRPr="005E7AA0">
              <w:rPr>
                <w:rFonts w:ascii="Verdana" w:hAnsi="Verdana"/>
                <w:sz w:val="20"/>
                <w:szCs w:val="20"/>
              </w:rPr>
              <w:t>preverniciate</w:t>
            </w:r>
            <w:proofErr w:type="spellEnd"/>
            <w:r w:rsidRPr="005E7AA0">
              <w:rPr>
                <w:rFonts w:ascii="Verdana" w:hAnsi="Verdana"/>
                <w:sz w:val="20"/>
                <w:szCs w:val="20"/>
              </w:rPr>
              <w:t xml:space="preserve"> intercapedine in schiuma di poliuretano espanso autoestinguente densità 40 kg/m³, pavimenti in pannelli di agglomerato di legno truciolare idrofugo con piano di calpestio in piastrelle di vinile omogeneo, serramenti in alluminio anodizzato con barre di protezione esterne, impianto elettrico rispondente alla legge 46/90, con conduttori con grado di isolamento 1000 V, tubazioni e scatole in materiale termoplastico autoestinguente e interruttore generale magnetotermico differenziale: soluzioni per mense, uffici e spogliatoi, con una finestra e portoncino esterno; costo di utilizzo della soluzione per un mese (esclusi gli arredi): dimensioni </w:t>
            </w:r>
            <w:smartTag w:uri="urn:schemas-microsoft-com:office:smarttags" w:element="metricconverter">
              <w:smartTagPr>
                <w:attr w:name="ProductID" w:val="6000 mm"/>
              </w:smartTagPr>
              <w:r w:rsidRPr="005E7AA0">
                <w:rPr>
                  <w:rFonts w:ascii="Verdana" w:hAnsi="Verdana"/>
                  <w:sz w:val="20"/>
                  <w:szCs w:val="20"/>
                </w:rPr>
                <w:t>6000 mm</w:t>
              </w:r>
            </w:smartTag>
            <w:r w:rsidRPr="005E7AA0">
              <w:rPr>
                <w:rFonts w:ascii="Verdana" w:hAnsi="Verdana"/>
                <w:sz w:val="20"/>
                <w:szCs w:val="20"/>
              </w:rPr>
              <w:t xml:space="preserve"> x </w:t>
            </w:r>
            <w:smartTag w:uri="urn:schemas-microsoft-com:office:smarttags" w:element="metricconverter">
              <w:smartTagPr>
                <w:attr w:name="ProductID" w:val="2460 mm"/>
              </w:smartTagPr>
              <w:r w:rsidRPr="005E7AA0">
                <w:rPr>
                  <w:rFonts w:ascii="Verdana" w:hAnsi="Verdana"/>
                  <w:sz w:val="20"/>
                  <w:szCs w:val="20"/>
                </w:rPr>
                <w:t>2460 mm</w:t>
              </w:r>
            </w:smartTag>
            <w:r w:rsidRPr="005E7AA0">
              <w:rPr>
                <w:rFonts w:ascii="Verdana" w:hAnsi="Verdana"/>
                <w:sz w:val="20"/>
                <w:szCs w:val="20"/>
              </w:rPr>
              <w:t xml:space="preserve"> con altezza pari a 2400 </w:t>
            </w:r>
          </w:p>
          <w:p w:rsidR="0006324F" w:rsidRPr="00897B9F" w:rsidRDefault="0006324F" w:rsidP="00B2273E">
            <w:pPr>
              <w:ind w:right="168"/>
              <w:rPr>
                <w:rFonts w:ascii="Verdana" w:hAnsi="Verdana"/>
                <w:sz w:val="20"/>
                <w:szCs w:val="20"/>
              </w:rPr>
            </w:pPr>
          </w:p>
        </w:tc>
        <w:tc>
          <w:tcPr>
            <w:tcW w:w="898" w:type="dxa"/>
            <w:tcBorders>
              <w:top w:val="single" w:sz="4" w:space="0" w:color="auto"/>
              <w:left w:val="nil"/>
              <w:bottom w:val="single" w:sz="4" w:space="0" w:color="auto"/>
              <w:right w:val="single" w:sz="4" w:space="0" w:color="auto"/>
            </w:tcBorders>
            <w:shd w:val="clear" w:color="auto" w:fill="auto"/>
            <w:noWrap/>
            <w:vAlign w:val="center"/>
          </w:tcPr>
          <w:p w:rsidR="006020E6" w:rsidRDefault="006020E6" w:rsidP="00B2273E">
            <w:pPr>
              <w:ind w:right="168"/>
              <w:jc w:val="center"/>
              <w:rPr>
                <w:sz w:val="21"/>
                <w:szCs w:val="21"/>
              </w:rPr>
            </w:pPr>
            <w:proofErr w:type="spellStart"/>
            <w:proofErr w:type="gramStart"/>
            <w:r>
              <w:rPr>
                <w:sz w:val="21"/>
                <w:szCs w:val="21"/>
              </w:rPr>
              <w:t>cad</w:t>
            </w:r>
            <w:proofErr w:type="spellEnd"/>
            <w:proofErr w:type="gramEnd"/>
          </w:p>
        </w:tc>
        <w:tc>
          <w:tcPr>
            <w:tcW w:w="980" w:type="dxa"/>
            <w:tcBorders>
              <w:top w:val="single" w:sz="4" w:space="0" w:color="auto"/>
              <w:left w:val="nil"/>
              <w:bottom w:val="single" w:sz="4" w:space="0" w:color="auto"/>
              <w:right w:val="single" w:sz="4" w:space="0" w:color="auto"/>
            </w:tcBorders>
            <w:shd w:val="clear" w:color="auto" w:fill="auto"/>
            <w:noWrap/>
            <w:vAlign w:val="center"/>
          </w:tcPr>
          <w:p w:rsidR="006020E6" w:rsidRDefault="006020E6" w:rsidP="00B2273E">
            <w:pPr>
              <w:ind w:right="168"/>
              <w:jc w:val="center"/>
              <w:rPr>
                <w:sz w:val="21"/>
                <w:szCs w:val="21"/>
              </w:rPr>
            </w:pPr>
            <w:r>
              <w:rPr>
                <w:sz w:val="21"/>
                <w:szCs w:val="21"/>
              </w:rPr>
              <w:t>1</w:t>
            </w:r>
          </w:p>
        </w:tc>
        <w:tc>
          <w:tcPr>
            <w:tcW w:w="658" w:type="dxa"/>
            <w:tcBorders>
              <w:top w:val="single" w:sz="4" w:space="0" w:color="auto"/>
              <w:left w:val="nil"/>
              <w:bottom w:val="single" w:sz="4" w:space="0" w:color="auto"/>
              <w:right w:val="single" w:sz="4" w:space="0" w:color="auto"/>
            </w:tcBorders>
            <w:shd w:val="clear" w:color="auto" w:fill="auto"/>
            <w:vAlign w:val="center"/>
          </w:tcPr>
          <w:p w:rsidR="006020E6" w:rsidRDefault="0006324F" w:rsidP="00B2273E">
            <w:pPr>
              <w:ind w:right="168"/>
              <w:rPr>
                <w:sz w:val="21"/>
                <w:szCs w:val="21"/>
              </w:rPr>
            </w:pPr>
            <w:r>
              <w:rPr>
                <w:sz w:val="21"/>
                <w:szCs w:val="21"/>
              </w:rPr>
              <w:t>4,2</w:t>
            </w:r>
          </w:p>
        </w:tc>
        <w:tc>
          <w:tcPr>
            <w:tcW w:w="977" w:type="dxa"/>
            <w:tcBorders>
              <w:top w:val="single" w:sz="4" w:space="0" w:color="auto"/>
              <w:left w:val="nil"/>
              <w:bottom w:val="single" w:sz="4" w:space="0" w:color="auto"/>
              <w:right w:val="single" w:sz="4" w:space="0" w:color="auto"/>
            </w:tcBorders>
            <w:shd w:val="clear" w:color="auto" w:fill="auto"/>
            <w:noWrap/>
            <w:vAlign w:val="center"/>
          </w:tcPr>
          <w:p w:rsidR="006020E6" w:rsidRDefault="006020E6" w:rsidP="00B2273E">
            <w:pPr>
              <w:ind w:right="168"/>
              <w:jc w:val="center"/>
              <w:rPr>
                <w:sz w:val="21"/>
                <w:szCs w:val="21"/>
              </w:rPr>
            </w:pPr>
            <w:r>
              <w:rPr>
                <w:sz w:val="21"/>
                <w:szCs w:val="21"/>
              </w:rPr>
              <w:t>94,39</w:t>
            </w:r>
          </w:p>
        </w:tc>
        <w:tc>
          <w:tcPr>
            <w:tcW w:w="983" w:type="dxa"/>
            <w:tcBorders>
              <w:top w:val="single" w:sz="4" w:space="0" w:color="auto"/>
              <w:left w:val="nil"/>
              <w:bottom w:val="single" w:sz="4" w:space="0" w:color="auto"/>
              <w:right w:val="single" w:sz="4" w:space="0" w:color="auto"/>
            </w:tcBorders>
            <w:shd w:val="clear" w:color="auto" w:fill="auto"/>
            <w:noWrap/>
            <w:vAlign w:val="center"/>
          </w:tcPr>
          <w:p w:rsidR="006020E6" w:rsidRPr="00886656" w:rsidRDefault="006020E6" w:rsidP="00B2273E">
            <w:pPr>
              <w:ind w:right="168"/>
              <w:jc w:val="center"/>
              <w:rPr>
                <w:sz w:val="21"/>
                <w:szCs w:val="21"/>
              </w:rPr>
            </w:pPr>
          </w:p>
        </w:tc>
        <w:tc>
          <w:tcPr>
            <w:tcW w:w="1261" w:type="dxa"/>
            <w:tcBorders>
              <w:top w:val="single" w:sz="4" w:space="0" w:color="auto"/>
              <w:left w:val="nil"/>
              <w:bottom w:val="single" w:sz="4" w:space="0" w:color="auto"/>
              <w:right w:val="single" w:sz="4" w:space="0" w:color="auto"/>
            </w:tcBorders>
            <w:shd w:val="clear" w:color="auto" w:fill="auto"/>
            <w:noWrap/>
            <w:vAlign w:val="center"/>
          </w:tcPr>
          <w:p w:rsidR="006020E6" w:rsidRPr="00EE298C" w:rsidRDefault="0006324F" w:rsidP="00AE3E9F">
            <w:pPr>
              <w:ind w:right="168"/>
              <w:jc w:val="center"/>
              <w:rPr>
                <w:sz w:val="21"/>
                <w:szCs w:val="21"/>
                <w:highlight w:val="green"/>
              </w:rPr>
            </w:pPr>
            <w:r>
              <w:rPr>
                <w:sz w:val="21"/>
                <w:szCs w:val="21"/>
              </w:rPr>
              <w:t>3</w:t>
            </w:r>
            <w:bookmarkStart w:id="0" w:name="_GoBack"/>
            <w:r>
              <w:rPr>
                <w:sz w:val="21"/>
                <w:szCs w:val="21"/>
              </w:rPr>
              <w:t>9</w:t>
            </w:r>
            <w:bookmarkEnd w:id="0"/>
            <w:r>
              <w:rPr>
                <w:sz w:val="21"/>
                <w:szCs w:val="21"/>
              </w:rPr>
              <w:t>6,44</w:t>
            </w:r>
          </w:p>
        </w:tc>
      </w:tr>
      <w:tr w:rsidR="0006324F" w:rsidRPr="00B9456D" w:rsidTr="0006324F">
        <w:trPr>
          <w:cantSplit/>
          <w:trHeight w:val="374"/>
          <w:jc w:val="center"/>
        </w:trPr>
        <w:tc>
          <w:tcPr>
            <w:tcW w:w="8531" w:type="dxa"/>
            <w:tcBorders>
              <w:top w:val="single" w:sz="4" w:space="0" w:color="auto"/>
              <w:left w:val="single" w:sz="4" w:space="0" w:color="auto"/>
              <w:bottom w:val="single" w:sz="8" w:space="0" w:color="auto"/>
              <w:right w:val="single" w:sz="4" w:space="0" w:color="auto"/>
            </w:tcBorders>
            <w:shd w:val="clear" w:color="auto" w:fill="auto"/>
            <w:vAlign w:val="center"/>
          </w:tcPr>
          <w:p w:rsidR="0006324F" w:rsidRPr="00B9456D" w:rsidRDefault="0006324F" w:rsidP="0006324F">
            <w:pPr>
              <w:autoSpaceDE w:val="0"/>
              <w:autoSpaceDN w:val="0"/>
              <w:adjustRightInd w:val="0"/>
              <w:rPr>
                <w:rFonts w:ascii="Verdana" w:hAnsi="Verdana"/>
                <w:sz w:val="20"/>
                <w:szCs w:val="20"/>
              </w:rPr>
            </w:pPr>
            <w:r w:rsidRPr="00B9456D">
              <w:rPr>
                <w:rFonts w:ascii="Verdana" w:hAnsi="Verdana"/>
                <w:i/>
                <w:sz w:val="20"/>
                <w:szCs w:val="20"/>
              </w:rPr>
              <w:t xml:space="preserve">Elenco prezzi Regione Lombardia ed. 2010- art. </w:t>
            </w:r>
            <w:r w:rsidRPr="00B9456D">
              <w:rPr>
                <w:sz w:val="20"/>
                <w:szCs w:val="20"/>
              </w:rPr>
              <w:t>M15197-b</w:t>
            </w:r>
          </w:p>
          <w:p w:rsidR="0006324F" w:rsidRPr="00B9456D" w:rsidRDefault="0006324F" w:rsidP="0006324F">
            <w:pPr>
              <w:ind w:right="168"/>
              <w:rPr>
                <w:rFonts w:ascii="Verdana" w:hAnsi="Verdana"/>
                <w:sz w:val="20"/>
                <w:szCs w:val="20"/>
              </w:rPr>
            </w:pPr>
            <w:r w:rsidRPr="00B9456D">
              <w:rPr>
                <w:rFonts w:ascii="Verdana" w:hAnsi="Verdana"/>
                <w:sz w:val="20"/>
                <w:szCs w:val="20"/>
              </w:rPr>
              <w:t xml:space="preserve">Cassette in </w:t>
            </w:r>
            <w:proofErr w:type="spellStart"/>
            <w:r w:rsidRPr="00B9456D">
              <w:rPr>
                <w:rFonts w:ascii="Verdana" w:hAnsi="Verdana"/>
                <w:sz w:val="20"/>
                <w:szCs w:val="20"/>
              </w:rPr>
              <w:t>Abs</w:t>
            </w:r>
            <w:proofErr w:type="spellEnd"/>
            <w:r w:rsidRPr="00B9456D">
              <w:rPr>
                <w:rFonts w:ascii="Verdana" w:hAnsi="Verdana"/>
                <w:sz w:val="20"/>
                <w:szCs w:val="20"/>
              </w:rPr>
              <w:t xml:space="preserve"> completi di presi chirurgici e farmaceutici</w:t>
            </w:r>
          </w:p>
          <w:p w:rsidR="0006324F" w:rsidRPr="00B9456D" w:rsidRDefault="0006324F" w:rsidP="0006324F">
            <w:pPr>
              <w:ind w:right="168"/>
              <w:rPr>
                <w:rFonts w:ascii="Verdana" w:hAnsi="Verdana"/>
                <w:sz w:val="20"/>
                <w:szCs w:val="20"/>
              </w:rPr>
            </w:pPr>
          </w:p>
          <w:p w:rsidR="0006324F" w:rsidRPr="00B9456D" w:rsidRDefault="0006324F" w:rsidP="0006324F">
            <w:pPr>
              <w:ind w:right="168"/>
              <w:rPr>
                <w:rFonts w:ascii="Verdana" w:hAnsi="Verdana"/>
                <w:sz w:val="20"/>
                <w:szCs w:val="20"/>
              </w:rPr>
            </w:pPr>
          </w:p>
        </w:tc>
        <w:tc>
          <w:tcPr>
            <w:tcW w:w="898" w:type="dxa"/>
            <w:tcBorders>
              <w:top w:val="single" w:sz="4" w:space="0" w:color="auto"/>
              <w:left w:val="nil"/>
              <w:bottom w:val="single" w:sz="8"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proofErr w:type="spellStart"/>
            <w:proofErr w:type="gramStart"/>
            <w:r w:rsidRPr="00B9456D">
              <w:rPr>
                <w:sz w:val="21"/>
                <w:szCs w:val="21"/>
              </w:rPr>
              <w:t>cad</w:t>
            </w:r>
            <w:proofErr w:type="spellEnd"/>
            <w:proofErr w:type="gramEnd"/>
          </w:p>
        </w:tc>
        <w:tc>
          <w:tcPr>
            <w:tcW w:w="980" w:type="dxa"/>
            <w:tcBorders>
              <w:top w:val="single" w:sz="4" w:space="0" w:color="auto"/>
              <w:left w:val="nil"/>
              <w:bottom w:val="single" w:sz="4"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r w:rsidRPr="00B9456D">
              <w:rPr>
                <w:sz w:val="21"/>
                <w:szCs w:val="21"/>
              </w:rPr>
              <w:t>1</w:t>
            </w:r>
          </w:p>
        </w:tc>
        <w:tc>
          <w:tcPr>
            <w:tcW w:w="658" w:type="dxa"/>
            <w:tcBorders>
              <w:top w:val="single" w:sz="4" w:space="0" w:color="auto"/>
              <w:left w:val="nil"/>
              <w:bottom w:val="single" w:sz="4" w:space="0" w:color="auto"/>
              <w:right w:val="single" w:sz="4" w:space="0" w:color="auto"/>
            </w:tcBorders>
            <w:shd w:val="clear" w:color="auto" w:fill="auto"/>
            <w:vAlign w:val="center"/>
          </w:tcPr>
          <w:p w:rsidR="0006324F" w:rsidRDefault="0006324F" w:rsidP="0006324F">
            <w:pPr>
              <w:ind w:right="168"/>
              <w:rPr>
                <w:sz w:val="21"/>
                <w:szCs w:val="21"/>
              </w:rPr>
            </w:pPr>
            <w:r>
              <w:rPr>
                <w:sz w:val="21"/>
                <w:szCs w:val="21"/>
              </w:rPr>
              <w:t>4,2</w:t>
            </w:r>
          </w:p>
        </w:tc>
        <w:tc>
          <w:tcPr>
            <w:tcW w:w="977" w:type="dxa"/>
            <w:tcBorders>
              <w:top w:val="single" w:sz="4" w:space="0" w:color="auto"/>
              <w:left w:val="nil"/>
              <w:bottom w:val="single" w:sz="8"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r w:rsidRPr="00B9456D">
              <w:rPr>
                <w:sz w:val="21"/>
                <w:szCs w:val="21"/>
              </w:rPr>
              <w:t>3,39</w:t>
            </w:r>
          </w:p>
        </w:tc>
        <w:tc>
          <w:tcPr>
            <w:tcW w:w="983" w:type="dxa"/>
            <w:tcBorders>
              <w:top w:val="single" w:sz="4" w:space="0" w:color="auto"/>
              <w:left w:val="nil"/>
              <w:bottom w:val="single" w:sz="8"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p>
        </w:tc>
        <w:tc>
          <w:tcPr>
            <w:tcW w:w="1261" w:type="dxa"/>
            <w:tcBorders>
              <w:top w:val="single" w:sz="4" w:space="0" w:color="auto"/>
              <w:left w:val="nil"/>
              <w:bottom w:val="single" w:sz="4"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r>
              <w:rPr>
                <w:sz w:val="21"/>
                <w:szCs w:val="21"/>
              </w:rPr>
              <w:t>14,24</w:t>
            </w:r>
          </w:p>
        </w:tc>
      </w:tr>
      <w:tr w:rsidR="0006324F" w:rsidRPr="00B9456D" w:rsidTr="0006324F">
        <w:trPr>
          <w:cantSplit/>
          <w:trHeight w:val="374"/>
          <w:jc w:val="center"/>
        </w:trPr>
        <w:tc>
          <w:tcPr>
            <w:tcW w:w="8531" w:type="dxa"/>
            <w:tcBorders>
              <w:top w:val="single" w:sz="4" w:space="0" w:color="auto"/>
              <w:left w:val="single" w:sz="4" w:space="0" w:color="auto"/>
              <w:bottom w:val="single" w:sz="8" w:space="0" w:color="auto"/>
              <w:right w:val="single" w:sz="4" w:space="0" w:color="auto"/>
            </w:tcBorders>
            <w:shd w:val="clear" w:color="auto" w:fill="auto"/>
            <w:vAlign w:val="center"/>
          </w:tcPr>
          <w:p w:rsidR="0006324F" w:rsidRPr="00B9456D" w:rsidRDefault="0006324F" w:rsidP="0006324F">
            <w:pPr>
              <w:autoSpaceDE w:val="0"/>
              <w:autoSpaceDN w:val="0"/>
              <w:adjustRightInd w:val="0"/>
              <w:rPr>
                <w:rFonts w:ascii="Verdana" w:hAnsi="Verdana"/>
                <w:i/>
                <w:sz w:val="20"/>
                <w:szCs w:val="20"/>
              </w:rPr>
            </w:pPr>
            <w:r w:rsidRPr="00B9456D">
              <w:rPr>
                <w:rFonts w:ascii="Verdana" w:hAnsi="Verdana"/>
                <w:i/>
                <w:sz w:val="20"/>
                <w:szCs w:val="20"/>
              </w:rPr>
              <w:t xml:space="preserve">Elenco prezzi Regione Lombardia ed. 2010- art. </w:t>
            </w:r>
            <w:r w:rsidRPr="00B9456D">
              <w:rPr>
                <w:sz w:val="20"/>
                <w:szCs w:val="20"/>
              </w:rPr>
              <w:t>M15016</w:t>
            </w:r>
          </w:p>
          <w:p w:rsidR="0006324F" w:rsidRPr="00B9456D" w:rsidRDefault="0006324F" w:rsidP="0006324F">
            <w:pPr>
              <w:ind w:right="168"/>
              <w:rPr>
                <w:rFonts w:ascii="Verdana" w:hAnsi="Verdana"/>
                <w:sz w:val="20"/>
                <w:szCs w:val="20"/>
              </w:rPr>
            </w:pPr>
          </w:p>
          <w:p w:rsidR="0006324F" w:rsidRDefault="0006324F" w:rsidP="0006324F">
            <w:pPr>
              <w:ind w:right="168"/>
              <w:rPr>
                <w:rFonts w:ascii="Verdana" w:hAnsi="Verdana"/>
                <w:sz w:val="20"/>
                <w:szCs w:val="20"/>
              </w:rPr>
            </w:pPr>
            <w:r w:rsidRPr="00B9456D">
              <w:rPr>
                <w:rFonts w:ascii="Verdana" w:hAnsi="Verdana"/>
                <w:sz w:val="20"/>
                <w:szCs w:val="20"/>
              </w:rPr>
              <w:t xml:space="preserve">Bagno chimico portatile, realizzato in materiale antiurto ... o in opera e successivo smontaggio. </w:t>
            </w:r>
            <w:proofErr w:type="gramStart"/>
            <w:r w:rsidRPr="00B9456D">
              <w:rPr>
                <w:rFonts w:ascii="Verdana" w:hAnsi="Verdana"/>
                <w:sz w:val="20"/>
                <w:szCs w:val="20"/>
              </w:rPr>
              <w:t>costo</w:t>
            </w:r>
            <w:proofErr w:type="gramEnd"/>
            <w:r w:rsidRPr="00B9456D">
              <w:rPr>
                <w:rFonts w:ascii="Verdana" w:hAnsi="Verdana"/>
                <w:sz w:val="20"/>
                <w:szCs w:val="20"/>
              </w:rPr>
              <w:t xml:space="preserve"> utilizzo mensile Bagno chimico portatile, realizzato in materiale antiurto, delle dimensioni 110x110x 230cm, peso </w:t>
            </w:r>
            <w:smartTag w:uri="urn:schemas-microsoft-com:office:smarttags" w:element="metricconverter">
              <w:smartTagPr>
                <w:attr w:name="ProductID" w:val="75 kg"/>
              </w:smartTagPr>
              <w:r w:rsidRPr="00B9456D">
                <w:rPr>
                  <w:rFonts w:ascii="Verdana" w:hAnsi="Verdana"/>
                  <w:sz w:val="20"/>
                  <w:szCs w:val="20"/>
                </w:rPr>
                <w:t>75 kg</w:t>
              </w:r>
            </w:smartTag>
            <w:r w:rsidRPr="00B9456D">
              <w:rPr>
                <w:rFonts w:ascii="Verdana" w:hAnsi="Verdana"/>
                <w:sz w:val="20"/>
                <w:szCs w:val="20"/>
              </w:rPr>
              <w:t xml:space="preserve">, allestimento in opera e successivo smontaggio. </w:t>
            </w:r>
            <w:proofErr w:type="gramStart"/>
            <w:r w:rsidRPr="00B9456D">
              <w:rPr>
                <w:rFonts w:ascii="Verdana" w:hAnsi="Verdana"/>
                <w:sz w:val="20"/>
                <w:szCs w:val="20"/>
              </w:rPr>
              <w:t>costo</w:t>
            </w:r>
            <w:proofErr w:type="gramEnd"/>
            <w:r w:rsidRPr="00B9456D">
              <w:rPr>
                <w:rFonts w:ascii="Verdana" w:hAnsi="Verdana"/>
                <w:sz w:val="20"/>
                <w:szCs w:val="20"/>
              </w:rPr>
              <w:t xml:space="preserve"> utilizzo mensile</w:t>
            </w:r>
          </w:p>
          <w:p w:rsidR="0006324F" w:rsidRPr="00B9456D" w:rsidRDefault="0006324F" w:rsidP="0006324F">
            <w:pPr>
              <w:ind w:right="168"/>
              <w:rPr>
                <w:rFonts w:ascii="Verdana" w:hAnsi="Verdana"/>
                <w:sz w:val="20"/>
                <w:szCs w:val="20"/>
              </w:rPr>
            </w:pPr>
          </w:p>
        </w:tc>
        <w:tc>
          <w:tcPr>
            <w:tcW w:w="898" w:type="dxa"/>
            <w:tcBorders>
              <w:top w:val="single" w:sz="4" w:space="0" w:color="auto"/>
              <w:left w:val="nil"/>
              <w:bottom w:val="single" w:sz="8"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proofErr w:type="spellStart"/>
            <w:proofErr w:type="gramStart"/>
            <w:r w:rsidRPr="00B9456D">
              <w:rPr>
                <w:sz w:val="21"/>
                <w:szCs w:val="21"/>
              </w:rPr>
              <w:t>cad</w:t>
            </w:r>
            <w:proofErr w:type="spellEnd"/>
            <w:proofErr w:type="gramEnd"/>
          </w:p>
        </w:tc>
        <w:tc>
          <w:tcPr>
            <w:tcW w:w="980" w:type="dxa"/>
            <w:tcBorders>
              <w:top w:val="single" w:sz="4" w:space="0" w:color="auto"/>
              <w:left w:val="nil"/>
              <w:bottom w:val="single" w:sz="4"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r>
              <w:rPr>
                <w:sz w:val="21"/>
                <w:szCs w:val="21"/>
              </w:rPr>
              <w:t>1</w:t>
            </w:r>
          </w:p>
        </w:tc>
        <w:tc>
          <w:tcPr>
            <w:tcW w:w="658" w:type="dxa"/>
            <w:tcBorders>
              <w:top w:val="single" w:sz="4" w:space="0" w:color="auto"/>
              <w:left w:val="nil"/>
              <w:bottom w:val="single" w:sz="4" w:space="0" w:color="auto"/>
              <w:right w:val="single" w:sz="4" w:space="0" w:color="auto"/>
            </w:tcBorders>
            <w:shd w:val="clear" w:color="auto" w:fill="auto"/>
            <w:vAlign w:val="center"/>
          </w:tcPr>
          <w:p w:rsidR="0006324F" w:rsidRPr="00B9456D" w:rsidRDefault="0006324F" w:rsidP="0006324F">
            <w:pPr>
              <w:ind w:right="168"/>
              <w:rPr>
                <w:sz w:val="21"/>
                <w:szCs w:val="21"/>
              </w:rPr>
            </w:pPr>
            <w:r>
              <w:rPr>
                <w:sz w:val="21"/>
                <w:szCs w:val="21"/>
              </w:rPr>
              <w:t>4,2</w:t>
            </w:r>
          </w:p>
        </w:tc>
        <w:tc>
          <w:tcPr>
            <w:tcW w:w="977" w:type="dxa"/>
            <w:tcBorders>
              <w:top w:val="single" w:sz="4" w:space="0" w:color="auto"/>
              <w:left w:val="nil"/>
              <w:bottom w:val="single" w:sz="8"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r w:rsidRPr="00B9456D">
              <w:rPr>
                <w:sz w:val="21"/>
                <w:szCs w:val="21"/>
              </w:rPr>
              <w:t>130,00</w:t>
            </w:r>
          </w:p>
        </w:tc>
        <w:tc>
          <w:tcPr>
            <w:tcW w:w="983" w:type="dxa"/>
            <w:tcBorders>
              <w:top w:val="single" w:sz="4" w:space="0" w:color="auto"/>
              <w:left w:val="nil"/>
              <w:bottom w:val="single" w:sz="8"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p>
        </w:tc>
        <w:tc>
          <w:tcPr>
            <w:tcW w:w="1261" w:type="dxa"/>
            <w:tcBorders>
              <w:top w:val="single" w:sz="4" w:space="0" w:color="auto"/>
              <w:left w:val="nil"/>
              <w:bottom w:val="single" w:sz="4" w:space="0" w:color="auto"/>
              <w:right w:val="single" w:sz="4" w:space="0" w:color="auto"/>
            </w:tcBorders>
            <w:shd w:val="clear" w:color="auto" w:fill="auto"/>
            <w:noWrap/>
            <w:vAlign w:val="center"/>
          </w:tcPr>
          <w:p w:rsidR="0006324F" w:rsidRPr="00B9456D" w:rsidRDefault="0006324F" w:rsidP="0006324F">
            <w:pPr>
              <w:ind w:right="168"/>
              <w:jc w:val="center"/>
              <w:rPr>
                <w:sz w:val="21"/>
                <w:szCs w:val="21"/>
              </w:rPr>
            </w:pPr>
            <w:r>
              <w:rPr>
                <w:sz w:val="21"/>
                <w:szCs w:val="21"/>
              </w:rPr>
              <w:t>546,00</w:t>
            </w:r>
          </w:p>
        </w:tc>
      </w:tr>
      <w:tr w:rsidR="0006324F" w:rsidRPr="00B9456D" w:rsidTr="0006324F">
        <w:trPr>
          <w:cantSplit/>
          <w:trHeight w:val="680"/>
          <w:jc w:val="center"/>
        </w:trPr>
        <w:tc>
          <w:tcPr>
            <w:tcW w:w="8531" w:type="dxa"/>
            <w:tcBorders>
              <w:top w:val="single" w:sz="8" w:space="0" w:color="auto"/>
            </w:tcBorders>
            <w:shd w:val="clear" w:color="auto" w:fill="auto"/>
            <w:vAlign w:val="center"/>
          </w:tcPr>
          <w:p w:rsidR="0006324F" w:rsidRPr="00B9456D" w:rsidRDefault="0006324F" w:rsidP="0006324F">
            <w:pPr>
              <w:autoSpaceDE w:val="0"/>
              <w:autoSpaceDN w:val="0"/>
              <w:adjustRightInd w:val="0"/>
              <w:rPr>
                <w:szCs w:val="22"/>
              </w:rPr>
            </w:pPr>
          </w:p>
        </w:tc>
        <w:tc>
          <w:tcPr>
            <w:tcW w:w="898" w:type="dxa"/>
            <w:tcBorders>
              <w:top w:val="single" w:sz="8" w:space="0" w:color="auto"/>
            </w:tcBorders>
            <w:shd w:val="clear" w:color="auto" w:fill="auto"/>
            <w:noWrap/>
            <w:vAlign w:val="center"/>
          </w:tcPr>
          <w:p w:rsidR="0006324F" w:rsidRPr="00B9456D" w:rsidRDefault="0006324F" w:rsidP="0006324F">
            <w:pPr>
              <w:ind w:right="168"/>
              <w:jc w:val="center"/>
              <w:rPr>
                <w:sz w:val="21"/>
                <w:szCs w:val="21"/>
              </w:rPr>
            </w:pPr>
          </w:p>
        </w:tc>
        <w:tc>
          <w:tcPr>
            <w:tcW w:w="980" w:type="dxa"/>
            <w:tcBorders>
              <w:top w:val="single" w:sz="8" w:space="0" w:color="auto"/>
            </w:tcBorders>
            <w:shd w:val="clear" w:color="auto" w:fill="auto"/>
            <w:noWrap/>
            <w:vAlign w:val="center"/>
          </w:tcPr>
          <w:p w:rsidR="0006324F" w:rsidRPr="00B9456D" w:rsidRDefault="0006324F" w:rsidP="0006324F">
            <w:pPr>
              <w:ind w:right="168"/>
              <w:jc w:val="center"/>
              <w:rPr>
                <w:sz w:val="21"/>
                <w:szCs w:val="21"/>
              </w:rPr>
            </w:pPr>
          </w:p>
        </w:tc>
        <w:tc>
          <w:tcPr>
            <w:tcW w:w="658" w:type="dxa"/>
            <w:tcBorders>
              <w:top w:val="single" w:sz="8" w:space="0" w:color="auto"/>
              <w:right w:val="single" w:sz="8" w:space="0" w:color="auto"/>
            </w:tcBorders>
            <w:shd w:val="clear" w:color="auto" w:fill="auto"/>
            <w:vAlign w:val="center"/>
          </w:tcPr>
          <w:p w:rsidR="0006324F" w:rsidRPr="00B9456D" w:rsidRDefault="0006324F" w:rsidP="0006324F">
            <w:pPr>
              <w:ind w:right="168"/>
              <w:jc w:val="center"/>
              <w:rPr>
                <w:sz w:val="21"/>
                <w:szCs w:val="21"/>
              </w:rPr>
            </w:pPr>
          </w:p>
        </w:tc>
        <w:tc>
          <w:tcPr>
            <w:tcW w:w="1960"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06324F" w:rsidRPr="00B9456D" w:rsidRDefault="0006324F" w:rsidP="0006324F">
            <w:pPr>
              <w:jc w:val="center"/>
              <w:rPr>
                <w:b/>
                <w:bCs/>
                <w:szCs w:val="22"/>
                <w:lang w:val="fr-FR"/>
              </w:rPr>
            </w:pPr>
            <w:r w:rsidRPr="00B9456D">
              <w:rPr>
                <w:b/>
                <w:bCs/>
                <w:szCs w:val="22"/>
                <w:lang w:val="fr-FR"/>
              </w:rPr>
              <w:t>TOTALE</w:t>
            </w:r>
          </w:p>
        </w:tc>
        <w:tc>
          <w:tcPr>
            <w:tcW w:w="1261" w:type="dxa"/>
            <w:tcBorders>
              <w:top w:val="single" w:sz="8" w:space="0" w:color="auto"/>
              <w:left w:val="single" w:sz="8" w:space="0" w:color="auto"/>
              <w:bottom w:val="single" w:sz="8" w:space="0" w:color="auto"/>
              <w:right w:val="single" w:sz="8" w:space="0" w:color="auto"/>
            </w:tcBorders>
            <w:shd w:val="clear" w:color="auto" w:fill="auto"/>
            <w:noWrap/>
            <w:vAlign w:val="center"/>
          </w:tcPr>
          <w:p w:rsidR="0006324F" w:rsidRPr="00B9456D" w:rsidRDefault="0006324F" w:rsidP="0006324F">
            <w:pPr>
              <w:jc w:val="center"/>
              <w:rPr>
                <w:b/>
                <w:bCs/>
                <w:szCs w:val="22"/>
              </w:rPr>
            </w:pPr>
            <w:r>
              <w:rPr>
                <w:b/>
                <w:bCs/>
                <w:szCs w:val="22"/>
              </w:rPr>
              <w:t>2.392,82</w:t>
            </w:r>
          </w:p>
        </w:tc>
      </w:tr>
    </w:tbl>
    <w:p w:rsidR="00803A5C" w:rsidRDefault="00803A5C"/>
    <w:sectPr w:rsidR="00803A5C" w:rsidSect="00AF2EC7">
      <w:pgSz w:w="16838" w:h="11906" w:orient="landscape"/>
      <w:pgMar w:top="1134" w:right="141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MR1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doNotDisplayPageBoundaries/>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020E6"/>
    <w:rsid w:val="00041802"/>
    <w:rsid w:val="00041C8E"/>
    <w:rsid w:val="00041E85"/>
    <w:rsid w:val="0006324F"/>
    <w:rsid w:val="0006618D"/>
    <w:rsid w:val="000B23EE"/>
    <w:rsid w:val="000C144B"/>
    <w:rsid w:val="001045F3"/>
    <w:rsid w:val="001147CE"/>
    <w:rsid w:val="00142211"/>
    <w:rsid w:val="00144ABF"/>
    <w:rsid w:val="00160B71"/>
    <w:rsid w:val="00163B47"/>
    <w:rsid w:val="0017176D"/>
    <w:rsid w:val="00192F2A"/>
    <w:rsid w:val="001B7FE5"/>
    <w:rsid w:val="001E39DF"/>
    <w:rsid w:val="00270A50"/>
    <w:rsid w:val="0027433F"/>
    <w:rsid w:val="002940C3"/>
    <w:rsid w:val="002B1075"/>
    <w:rsid w:val="002B571B"/>
    <w:rsid w:val="002C3518"/>
    <w:rsid w:val="002E5462"/>
    <w:rsid w:val="003263E4"/>
    <w:rsid w:val="00360C19"/>
    <w:rsid w:val="003639C2"/>
    <w:rsid w:val="00397F81"/>
    <w:rsid w:val="004142F6"/>
    <w:rsid w:val="0041750B"/>
    <w:rsid w:val="0043737B"/>
    <w:rsid w:val="00487CE2"/>
    <w:rsid w:val="004C739F"/>
    <w:rsid w:val="004D0FDA"/>
    <w:rsid w:val="004F7999"/>
    <w:rsid w:val="00505DA6"/>
    <w:rsid w:val="00506952"/>
    <w:rsid w:val="00511F46"/>
    <w:rsid w:val="0051689E"/>
    <w:rsid w:val="005520B4"/>
    <w:rsid w:val="005B12F5"/>
    <w:rsid w:val="005B50C2"/>
    <w:rsid w:val="005E7547"/>
    <w:rsid w:val="005F26C2"/>
    <w:rsid w:val="006020E6"/>
    <w:rsid w:val="00604D9A"/>
    <w:rsid w:val="00606644"/>
    <w:rsid w:val="00650744"/>
    <w:rsid w:val="00652A1D"/>
    <w:rsid w:val="00660799"/>
    <w:rsid w:val="00662BA3"/>
    <w:rsid w:val="00666AB9"/>
    <w:rsid w:val="00674290"/>
    <w:rsid w:val="006C7855"/>
    <w:rsid w:val="006E7A98"/>
    <w:rsid w:val="00783B47"/>
    <w:rsid w:val="00791D5F"/>
    <w:rsid w:val="007B4D2B"/>
    <w:rsid w:val="007B52B7"/>
    <w:rsid w:val="00803A5C"/>
    <w:rsid w:val="00824B30"/>
    <w:rsid w:val="00826351"/>
    <w:rsid w:val="008812E8"/>
    <w:rsid w:val="00966440"/>
    <w:rsid w:val="00994DB8"/>
    <w:rsid w:val="009B040F"/>
    <w:rsid w:val="009C316E"/>
    <w:rsid w:val="009E263F"/>
    <w:rsid w:val="00A21084"/>
    <w:rsid w:val="00A42273"/>
    <w:rsid w:val="00A71600"/>
    <w:rsid w:val="00A7609D"/>
    <w:rsid w:val="00A97A83"/>
    <w:rsid w:val="00AB429A"/>
    <w:rsid w:val="00AC19F7"/>
    <w:rsid w:val="00AE3E9F"/>
    <w:rsid w:val="00AE6301"/>
    <w:rsid w:val="00AF2EC7"/>
    <w:rsid w:val="00AF6575"/>
    <w:rsid w:val="00B01FD4"/>
    <w:rsid w:val="00B04F9E"/>
    <w:rsid w:val="00B07CA9"/>
    <w:rsid w:val="00BA5A3F"/>
    <w:rsid w:val="00BB3AD0"/>
    <w:rsid w:val="00BE36F3"/>
    <w:rsid w:val="00BF049F"/>
    <w:rsid w:val="00BF310F"/>
    <w:rsid w:val="00C33F7A"/>
    <w:rsid w:val="00C42457"/>
    <w:rsid w:val="00C6617C"/>
    <w:rsid w:val="00CC4FC3"/>
    <w:rsid w:val="00CC7ED1"/>
    <w:rsid w:val="00CF0774"/>
    <w:rsid w:val="00D27573"/>
    <w:rsid w:val="00D31790"/>
    <w:rsid w:val="00D33D2D"/>
    <w:rsid w:val="00D375D7"/>
    <w:rsid w:val="00D50F55"/>
    <w:rsid w:val="00D62A9E"/>
    <w:rsid w:val="00DC64B9"/>
    <w:rsid w:val="00EA5161"/>
    <w:rsid w:val="00ED3F63"/>
    <w:rsid w:val="00F25954"/>
    <w:rsid w:val="00F33EFB"/>
    <w:rsid w:val="00F5146C"/>
    <w:rsid w:val="00F802E3"/>
    <w:rsid w:val="00FA10F3"/>
    <w:rsid w:val="00FB6FE5"/>
    <w:rsid w:val="00FE342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AAF8B6D-BC86-4193-A5E1-8FF784522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6020E6"/>
    <w:pPr>
      <w:spacing w:after="0" w:line="240" w:lineRule="auto"/>
    </w:pPr>
    <w:rPr>
      <w:rFonts w:ascii="Arial" w:eastAsia="Times New Roman" w:hAnsi="Arial" w:cs="Arial"/>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AF2EC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AF2EC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48</TotalTime>
  <Pages>2</Pages>
  <Words>427</Words>
  <Characters>2437</Characters>
  <Application>Microsoft Office Word</Application>
  <DocSecurity>0</DocSecurity>
  <Lines>20</Lines>
  <Paragraphs>5</Paragraphs>
  <ScaleCrop>false</ScaleCrop>
  <HeadingPairs>
    <vt:vector size="2" baseType="variant">
      <vt:variant>
        <vt:lpstr>Titolo</vt:lpstr>
      </vt:variant>
      <vt:variant>
        <vt:i4>1</vt:i4>
      </vt:variant>
    </vt:vector>
  </HeadingPairs>
  <TitlesOfParts>
    <vt:vector size="1" baseType="lpstr">
      <vt:lpstr/>
    </vt:vector>
  </TitlesOfParts>
  <Company>HP</Company>
  <LinksUpToDate>false</LinksUpToDate>
  <CharactersWithSpaces>2859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 Poloni</dc:creator>
  <cp:lastModifiedBy>Andrea Poloni</cp:lastModifiedBy>
  <cp:revision>4</cp:revision>
  <cp:lastPrinted>2014-02-24T16:47:00Z</cp:lastPrinted>
  <dcterms:created xsi:type="dcterms:W3CDTF">2014-10-22T17:12:00Z</dcterms:created>
  <dcterms:modified xsi:type="dcterms:W3CDTF">2014-10-24T21:01:00Z</dcterms:modified>
</cp:coreProperties>
</file>