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44" w:rsidRPr="00F91544" w:rsidRDefault="00611275" w:rsidP="00F9154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Ref509501473"/>
      <w:bookmarkEnd w:id="0"/>
      <w:r>
        <w:rPr>
          <w:noProof/>
        </w:rPr>
        <w:drawing>
          <wp:inline distT="0" distB="0" distL="0" distR="0">
            <wp:extent cx="2019300" cy="594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44" w:rsidRPr="00F91544" w:rsidRDefault="00F91544" w:rsidP="00F91544">
      <w:pPr>
        <w:jc w:val="center"/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COMMESSA YA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RILANCIO E RIQUALIFICAZIONE DEI MERCATI GENERALI DI MILANO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FASE 1.0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LOTTO 1.03 – PIATTAFORMA AMBULANTI CARNE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PERIZIA DI </w:t>
      </w:r>
      <w:r w:rsidR="008532C1" w:rsidRPr="00F91544">
        <w:rPr>
          <w:rFonts w:ascii="Arial" w:hAnsi="Arial" w:cs="Arial"/>
          <w:b/>
          <w:sz w:val="32"/>
          <w:szCs w:val="32"/>
        </w:rPr>
        <w:t>VARIANTE</w:t>
      </w:r>
      <w:r w:rsidR="008532C1">
        <w:rPr>
          <w:rFonts w:ascii="Arial" w:hAnsi="Arial" w:cs="Arial"/>
          <w:b/>
          <w:sz w:val="32"/>
          <w:szCs w:val="32"/>
        </w:rPr>
        <w:t xml:space="preserve"> N.</w:t>
      </w:r>
      <w:r w:rsidR="00ED2F09">
        <w:rPr>
          <w:rFonts w:ascii="Arial" w:hAnsi="Arial" w:cs="Arial"/>
          <w:b/>
          <w:sz w:val="32"/>
          <w:szCs w:val="32"/>
        </w:rPr>
        <w:t xml:space="preserve"> 2</w:t>
      </w:r>
      <w:r w:rsidR="00CC7179">
        <w:rPr>
          <w:rFonts w:ascii="Arial" w:hAnsi="Arial" w:cs="Arial"/>
          <w:b/>
          <w:sz w:val="32"/>
          <w:szCs w:val="32"/>
        </w:rPr>
        <w:t xml:space="preserve"> – ADEGUAMENTI FUNZIONALI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Default="001C4165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SPECIFICHE TECNICHE DELLE PRINCIPALI OPERE E LAVORAZIONI DELLA VARIANTE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1C4165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YA – 0302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sz w:val="20"/>
        </w:rPr>
        <w:t>Direzione lavori e progettazione esecutiva variante:</w:t>
      </w: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220636" wp14:editId="58553E40">
            <wp:simplePos x="0" y="0"/>
            <wp:positionH relativeFrom="column">
              <wp:posOffset>119380</wp:posOffset>
            </wp:positionH>
            <wp:positionV relativeFrom="paragraph">
              <wp:posOffset>149860</wp:posOffset>
            </wp:positionV>
            <wp:extent cx="1760220" cy="434340"/>
            <wp:effectExtent l="0" t="0" r="0" b="3810"/>
            <wp:wrapNone/>
            <wp:docPr id="5" name="Immagine 5" descr="Logo-lettera-c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Logo-lettera-co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  <w:sz w:val="16"/>
          <w:szCs w:val="16"/>
        </w:rPr>
      </w:pPr>
      <w:r w:rsidRPr="00F91544">
        <w:rPr>
          <w:rFonts w:ascii="Arial" w:hAnsi="Arial" w:cs="Arial"/>
          <w:sz w:val="16"/>
          <w:szCs w:val="16"/>
        </w:rPr>
        <w:t>Via B. Bosco, 15 – 16121 Genova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14"/>
        <w:gridCol w:w="1134"/>
        <w:gridCol w:w="851"/>
        <w:gridCol w:w="708"/>
        <w:gridCol w:w="1482"/>
        <w:gridCol w:w="1495"/>
        <w:gridCol w:w="851"/>
        <w:gridCol w:w="708"/>
        <w:gridCol w:w="1072"/>
      </w:tblGrid>
      <w:tr w:rsidR="00F91544" w:rsidRPr="00F91544" w:rsidTr="004308A0">
        <w:trPr>
          <w:trHeight w:val="611"/>
        </w:trPr>
        <w:tc>
          <w:tcPr>
            <w:tcW w:w="1137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DATA</w:t>
            </w:r>
          </w:p>
        </w:tc>
        <w:tc>
          <w:tcPr>
            <w:tcW w:w="81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COM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WBE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N°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REV</w:t>
            </w:r>
          </w:p>
        </w:tc>
        <w:tc>
          <w:tcPr>
            <w:tcW w:w="148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DESCR</w:t>
            </w:r>
          </w:p>
        </w:tc>
        <w:tc>
          <w:tcPr>
            <w:tcW w:w="1495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REDAT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VERIF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ACQ</w:t>
            </w:r>
          </w:p>
        </w:tc>
        <w:tc>
          <w:tcPr>
            <w:tcW w:w="107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APPR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ED2F0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10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/2014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YA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B63A96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1EGGE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CC717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30</w:t>
            </w:r>
            <w:r w:rsidR="001C4165">
              <w:rPr>
                <w:rFonts w:ascii="Arial" w:hAnsi="Arial" w:cs="Arial"/>
                <w:sz w:val="20"/>
                <w:lang w:val="it-IT"/>
              </w:rPr>
              <w:t>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VA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B63A96" w:rsidP="00B63A96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 xml:space="preserve">Perizia di 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Variante</w:t>
            </w:r>
            <w:r w:rsidR="0022281E">
              <w:rPr>
                <w:rFonts w:ascii="Arial" w:hAnsi="Arial" w:cs="Arial"/>
                <w:sz w:val="20"/>
                <w:lang w:val="it-IT"/>
              </w:rPr>
              <w:t xml:space="preserve"> 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Sidercad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6A07C5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A. Poloni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F91544" w:rsidRPr="00F91544" w:rsidRDefault="00F91544" w:rsidP="00F91544">
      <w:pPr>
        <w:rPr>
          <w:rFonts w:ascii="Arial" w:hAnsi="Arial" w:cs="Arial"/>
          <w:sz w:val="20"/>
        </w:rPr>
      </w:pPr>
    </w:p>
    <w:p w:rsidR="00F91544" w:rsidRPr="00F91544" w:rsidRDefault="00F91544" w:rsidP="00F91544">
      <w:pPr>
        <w:rPr>
          <w:rFonts w:ascii="Arial" w:hAnsi="Arial" w:cs="Arial"/>
          <w:sz w:val="20"/>
        </w:rPr>
      </w:pPr>
      <w:proofErr w:type="gramStart"/>
      <w:r w:rsidRPr="00F91544">
        <w:rPr>
          <w:rFonts w:ascii="Arial" w:hAnsi="Arial" w:cs="Arial"/>
          <w:sz w:val="20"/>
        </w:rPr>
        <w:t>il</w:t>
      </w:r>
      <w:proofErr w:type="gramEnd"/>
      <w:r w:rsidRPr="00F91544">
        <w:rPr>
          <w:rFonts w:ascii="Arial" w:hAnsi="Arial" w:cs="Arial"/>
          <w:sz w:val="20"/>
        </w:rPr>
        <w:t xml:space="preserve"> direttore dei Lavori</w:t>
      </w:r>
    </w:p>
    <w:p w:rsidR="00F91544" w:rsidRPr="00F91544" w:rsidRDefault="00F91544" w:rsidP="00F91544">
      <w:pPr>
        <w:rPr>
          <w:rFonts w:ascii="Arial" w:hAnsi="Arial" w:cs="Arial"/>
          <w:sz w:val="20"/>
        </w:rPr>
      </w:pPr>
      <w:r w:rsidRPr="00F91544">
        <w:rPr>
          <w:rFonts w:ascii="Arial" w:hAnsi="Arial" w:cs="Arial"/>
          <w:sz w:val="20"/>
        </w:rPr>
        <w:t>Ing. Andrea Poloni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Pr="00F91544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6C091D" w:rsidRDefault="006C091D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6C091D" w:rsidRPr="00F91544" w:rsidRDefault="006C091D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6A7C86" w:rsidRPr="006A7C86" w:rsidRDefault="006A7C86" w:rsidP="006A7C86">
      <w:pPr>
        <w:spacing w:line="360" w:lineRule="auto"/>
        <w:ind w:right="-27"/>
        <w:jc w:val="both"/>
        <w:rPr>
          <w:rFonts w:ascii="Arial" w:hAnsi="Arial" w:cs="Arial"/>
        </w:rPr>
      </w:pPr>
      <w:r w:rsidRPr="006A7C86">
        <w:rPr>
          <w:rFonts w:ascii="Arial" w:hAnsi="Arial" w:cs="Arial"/>
          <w:b/>
          <w:u w:val="single"/>
        </w:rPr>
        <w:lastRenderedPageBreak/>
        <w:t>RINTERRI A PERIMETRO DEL FABBRICATO</w:t>
      </w:r>
    </w:p>
    <w:p w:rsidR="006A7C86" w:rsidRPr="006A7C86" w:rsidRDefault="006A7C86" w:rsidP="006A7C86">
      <w:pPr>
        <w:spacing w:line="360" w:lineRule="auto"/>
        <w:ind w:right="-27"/>
        <w:jc w:val="both"/>
        <w:rPr>
          <w:rFonts w:ascii="Arial" w:hAnsi="Arial" w:cs="Arial"/>
        </w:rPr>
      </w:pPr>
      <w:r w:rsidRPr="006A7C86">
        <w:rPr>
          <w:rFonts w:ascii="Arial" w:hAnsi="Arial" w:cs="Arial"/>
        </w:rPr>
        <w:t>La presente specifica riguarda l’esecuzione dei rinterri al perimetro del fabbricato Piattaforma Ambulanti nella parte sottostante alla pavimentazione industriale in c.a., che rimane confermata, e nella fascia adiacente di transizione sino al piazzale preesistente mantenuto, questa in conglomerato bituminoso.  L’area deposito bombole non è interessata; per essa si confermano le lavorazioni di progetto (</w:t>
      </w:r>
      <w:r>
        <w:rPr>
          <w:rFonts w:ascii="Arial" w:hAnsi="Arial" w:cs="Arial"/>
        </w:rPr>
        <w:t xml:space="preserve">è stato </w:t>
      </w:r>
      <w:r w:rsidRPr="006A7C86">
        <w:rPr>
          <w:rFonts w:ascii="Arial" w:hAnsi="Arial" w:cs="Arial"/>
        </w:rPr>
        <w:t xml:space="preserve">aggiunto solamente </w:t>
      </w:r>
      <w:r>
        <w:rPr>
          <w:rFonts w:ascii="Arial" w:hAnsi="Arial" w:cs="Arial"/>
        </w:rPr>
        <w:t xml:space="preserve">un </w:t>
      </w:r>
      <w:r w:rsidRPr="006A7C86">
        <w:rPr>
          <w:rFonts w:ascii="Arial" w:hAnsi="Arial" w:cs="Arial"/>
        </w:rPr>
        <w:t>magro di pulizia).</w:t>
      </w:r>
    </w:p>
    <w:p w:rsidR="006A7C86" w:rsidRDefault="006A7C86" w:rsidP="006A7C86">
      <w:pPr>
        <w:spacing w:line="360" w:lineRule="auto"/>
        <w:ind w:right="-27"/>
        <w:jc w:val="both"/>
        <w:rPr>
          <w:rFonts w:ascii="Arial" w:hAnsi="Arial" w:cs="Arial"/>
        </w:rPr>
      </w:pPr>
      <w:r w:rsidRPr="006A7C86">
        <w:rPr>
          <w:rFonts w:ascii="Arial" w:hAnsi="Arial" w:cs="Arial"/>
        </w:rPr>
        <w:t xml:space="preserve">Scopo della specifica è </w:t>
      </w:r>
      <w:r>
        <w:rPr>
          <w:rFonts w:ascii="Arial" w:hAnsi="Arial" w:cs="Arial"/>
        </w:rPr>
        <w:t xml:space="preserve">quello di </w:t>
      </w:r>
      <w:r w:rsidRPr="006A7C86">
        <w:rPr>
          <w:rFonts w:ascii="Arial" w:hAnsi="Arial" w:cs="Arial"/>
        </w:rPr>
        <w:t xml:space="preserve">fornire le indicazioni di dettaglio per eseguire le lavorazioni previste </w:t>
      </w:r>
      <w:r>
        <w:rPr>
          <w:rFonts w:ascii="Arial" w:hAnsi="Arial" w:cs="Arial"/>
        </w:rPr>
        <w:t>nella variante ed in particolare nell’elaborato YA 0229 “</w:t>
      </w:r>
      <w:r w:rsidRPr="006A7C86">
        <w:rPr>
          <w:rFonts w:ascii="Arial" w:hAnsi="Arial" w:cs="Arial"/>
        </w:rPr>
        <w:t>Pavimentazioni esterne</w:t>
      </w:r>
      <w:r>
        <w:rPr>
          <w:rFonts w:ascii="Arial" w:hAnsi="Arial" w:cs="Arial"/>
        </w:rPr>
        <w:t>”.</w:t>
      </w:r>
    </w:p>
    <w:p w:rsidR="00CF0052" w:rsidRPr="006A7C86" w:rsidRDefault="00CF0052" w:rsidP="006A7C86">
      <w:pPr>
        <w:spacing w:line="360" w:lineRule="auto"/>
        <w:ind w:right="-27"/>
        <w:jc w:val="both"/>
        <w:rPr>
          <w:rFonts w:ascii="Arial" w:hAnsi="Arial" w:cs="Arial"/>
        </w:rPr>
      </w:pPr>
    </w:p>
    <w:p w:rsidR="006A7C86" w:rsidRPr="006A7C86" w:rsidRDefault="006A7C86" w:rsidP="006A7C86">
      <w:pPr>
        <w:spacing w:line="360" w:lineRule="auto"/>
        <w:ind w:right="-27"/>
        <w:jc w:val="both"/>
        <w:rPr>
          <w:rFonts w:ascii="Arial" w:hAnsi="Arial" w:cs="Arial"/>
        </w:rPr>
      </w:pPr>
      <w:r w:rsidRPr="006A7C86">
        <w:rPr>
          <w:rFonts w:ascii="Arial" w:hAnsi="Arial" w:cs="Arial"/>
        </w:rPr>
        <w:t>In via preliminare dovrà essere effettuata la pulizia dell’area di intervento da ogni eventuale detrito accumulatosi e dalle erbe che si sono formate; dovranno essere verificati ed eventualmente revisionati tutti gli impianti realizzati per garantirne il perfetto funzionamento.</w:t>
      </w:r>
    </w:p>
    <w:p w:rsidR="006A7C86" w:rsidRDefault="006A7C86" w:rsidP="006A7C86">
      <w:pPr>
        <w:spacing w:line="360" w:lineRule="auto"/>
        <w:ind w:right="-27"/>
        <w:jc w:val="both"/>
        <w:rPr>
          <w:rFonts w:ascii="Arial" w:hAnsi="Arial" w:cs="Arial"/>
        </w:rPr>
      </w:pPr>
    </w:p>
    <w:p w:rsidR="002D6B9A" w:rsidRDefault="00CF0052" w:rsidP="006A7C86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Una prima fase di lavorazioni (tutte previste ex novo nella variante) è finalizzata a </w:t>
      </w:r>
      <w:r w:rsidR="002D6B9A">
        <w:rPr>
          <w:rFonts w:ascii="Arial" w:hAnsi="Arial" w:cs="Arial"/>
        </w:rPr>
        <w:t xml:space="preserve">proteggere le tubazioni </w:t>
      </w:r>
      <w:r w:rsidR="006A7C86" w:rsidRPr="006A7C86">
        <w:rPr>
          <w:rFonts w:ascii="Arial" w:hAnsi="Arial" w:cs="Arial"/>
        </w:rPr>
        <w:t xml:space="preserve">fognarie </w:t>
      </w:r>
      <w:r w:rsidR="002D6B9A">
        <w:rPr>
          <w:rFonts w:ascii="Arial" w:hAnsi="Arial" w:cs="Arial"/>
        </w:rPr>
        <w:t xml:space="preserve">già realizzate </w:t>
      </w:r>
      <w:r>
        <w:rPr>
          <w:rFonts w:ascii="Arial" w:hAnsi="Arial" w:cs="Arial"/>
        </w:rPr>
        <w:t xml:space="preserve">con </w:t>
      </w:r>
      <w:r w:rsidR="002D6B9A">
        <w:rPr>
          <w:rFonts w:ascii="Arial" w:hAnsi="Arial" w:cs="Arial"/>
        </w:rPr>
        <w:t>appositi bauletti di magrone</w:t>
      </w:r>
      <w:r>
        <w:rPr>
          <w:rFonts w:ascii="Arial" w:hAnsi="Arial" w:cs="Arial"/>
        </w:rPr>
        <w:t>; gli interventi sono</w:t>
      </w:r>
      <w:r w:rsidR="002D6B9A">
        <w:rPr>
          <w:rFonts w:ascii="Arial" w:hAnsi="Arial" w:cs="Arial"/>
        </w:rPr>
        <w:t xml:space="preserve"> distinti in due tipologie:</w:t>
      </w:r>
    </w:p>
    <w:p w:rsidR="002D6B9A" w:rsidRPr="00675BAA" w:rsidRDefault="00675BAA" w:rsidP="00675BAA">
      <w:pPr>
        <w:pStyle w:val="Paragrafoelenco"/>
        <w:numPr>
          <w:ilvl w:val="0"/>
          <w:numId w:val="12"/>
        </w:numPr>
        <w:spacing w:line="360" w:lineRule="auto"/>
        <w:ind w:right="-2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</w:t>
      </w:r>
      <w:r w:rsidR="002D6B9A" w:rsidRPr="00675BAA">
        <w:rPr>
          <w:rFonts w:ascii="Arial" w:hAnsi="Arial" w:cs="Arial"/>
        </w:rPr>
        <w:t>e</w:t>
      </w:r>
      <w:proofErr w:type="gramEnd"/>
      <w:r w:rsidR="002D6B9A" w:rsidRPr="00675BAA">
        <w:rPr>
          <w:rFonts w:ascii="Arial" w:hAnsi="Arial" w:cs="Arial"/>
        </w:rPr>
        <w:t xml:space="preserve"> tubazioni poste a maggiore altezza dalla platea (sono la maggior parte) verranno conglobate in un bauletto di cls magro largo 35 cm circa, gettato con casseri laterali; il calcestruzzo fluido e vibrato si disporrà attorno al tubo creando il necessario sostegno inferiore e la protezione nella parte superiore</w:t>
      </w:r>
      <w:r>
        <w:rPr>
          <w:rFonts w:ascii="Arial" w:hAnsi="Arial" w:cs="Arial"/>
        </w:rPr>
        <w:t>;</w:t>
      </w:r>
    </w:p>
    <w:p w:rsidR="00CF0052" w:rsidRDefault="00CF0052" w:rsidP="00675BAA">
      <w:pPr>
        <w:pStyle w:val="Paragrafoelenco"/>
        <w:numPr>
          <w:ilvl w:val="0"/>
          <w:numId w:val="12"/>
        </w:numPr>
        <w:spacing w:line="360" w:lineRule="auto"/>
        <w:ind w:right="-2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l</w:t>
      </w:r>
      <w:r w:rsidR="00301617">
        <w:rPr>
          <w:rFonts w:ascii="Arial" w:hAnsi="Arial" w:cs="Arial"/>
        </w:rPr>
        <w:t>e</w:t>
      </w:r>
      <w:proofErr w:type="gramEnd"/>
      <w:r w:rsidR="00301617">
        <w:rPr>
          <w:rFonts w:ascii="Arial" w:hAnsi="Arial" w:cs="Arial"/>
        </w:rPr>
        <w:t xml:space="preserve"> tubazioni appoggiate su</w:t>
      </w:r>
      <w:r>
        <w:rPr>
          <w:rFonts w:ascii="Arial" w:hAnsi="Arial" w:cs="Arial"/>
        </w:rPr>
        <w:t xml:space="preserve">lla platea o solo di poco </w:t>
      </w:r>
      <w:r w:rsidR="00301617">
        <w:rPr>
          <w:rFonts w:ascii="Arial" w:hAnsi="Arial" w:cs="Arial"/>
        </w:rPr>
        <w:t>sollevate da questa</w:t>
      </w:r>
      <w:r>
        <w:rPr>
          <w:rFonts w:ascii="Arial" w:hAnsi="Arial" w:cs="Arial"/>
        </w:rPr>
        <w:t>,</w:t>
      </w:r>
      <w:r w:rsidR="0030161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verranno protette con un getto di cls magro di scarsa fluidità (per mantenere una configurazione inclinata dei bordi laterali); il magrone sarà ben rinfiancato </w:t>
      </w:r>
      <w:r w:rsidR="006A7C86" w:rsidRPr="006A7C86">
        <w:rPr>
          <w:rFonts w:ascii="Arial" w:hAnsi="Arial" w:cs="Arial"/>
        </w:rPr>
        <w:t xml:space="preserve">sotto </w:t>
      </w:r>
      <w:r>
        <w:rPr>
          <w:rFonts w:ascii="Arial" w:hAnsi="Arial" w:cs="Arial"/>
        </w:rPr>
        <w:t>le tubazioni</w:t>
      </w:r>
      <w:r w:rsidR="006A7C86" w:rsidRPr="006A7C86">
        <w:rPr>
          <w:rFonts w:ascii="Arial" w:hAnsi="Arial" w:cs="Arial"/>
        </w:rPr>
        <w:t xml:space="preserve"> per conferire un adeguato allettamento</w:t>
      </w:r>
      <w:r>
        <w:rPr>
          <w:rFonts w:ascii="Arial" w:hAnsi="Arial" w:cs="Arial"/>
        </w:rPr>
        <w:t xml:space="preserve"> alle stesse ed evitare </w:t>
      </w:r>
      <w:r w:rsidR="00675BAA">
        <w:rPr>
          <w:rFonts w:ascii="Arial" w:hAnsi="Arial" w:cs="Arial"/>
        </w:rPr>
        <w:t xml:space="preserve">possibili </w:t>
      </w:r>
      <w:r>
        <w:rPr>
          <w:rFonts w:ascii="Arial" w:hAnsi="Arial" w:cs="Arial"/>
        </w:rPr>
        <w:t>punti di cesoiamento</w:t>
      </w:r>
      <w:r w:rsidR="00675BAA">
        <w:rPr>
          <w:rFonts w:ascii="Arial" w:hAnsi="Arial" w:cs="Arial"/>
        </w:rPr>
        <w:t xml:space="preserve"> (ad esempio ai bordi platea o dei pozzetti);</w:t>
      </w:r>
    </w:p>
    <w:p w:rsidR="00CF0052" w:rsidRDefault="00675BAA" w:rsidP="00675BAA">
      <w:pPr>
        <w:pStyle w:val="Paragrafoelenco"/>
        <w:numPr>
          <w:ilvl w:val="0"/>
          <w:numId w:val="12"/>
        </w:numPr>
        <w:spacing w:line="360" w:lineRule="auto"/>
        <w:ind w:right="-2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una</w:t>
      </w:r>
      <w:proofErr w:type="gramEnd"/>
      <w:r>
        <w:rPr>
          <w:rFonts w:ascii="Arial" w:hAnsi="Arial" w:cs="Arial"/>
        </w:rPr>
        <w:t xml:space="preserve"> lavorazione specifica verrà eseguita per </w:t>
      </w:r>
      <w:r w:rsidR="00CF0052" w:rsidRPr="006A7C86">
        <w:rPr>
          <w:rFonts w:ascii="Arial" w:hAnsi="Arial" w:cs="Arial"/>
        </w:rPr>
        <w:t xml:space="preserve">realizzare l’allettamento delle tubazioni in polietilene dell’acqua in pressione </w:t>
      </w:r>
      <w:r w:rsidR="00CF0052">
        <w:rPr>
          <w:rFonts w:ascii="Arial" w:hAnsi="Arial" w:cs="Arial"/>
        </w:rPr>
        <w:t xml:space="preserve">(antincendio e acqua potabile) poste a ridosso del </w:t>
      </w:r>
      <w:r w:rsidR="00DC1E71">
        <w:rPr>
          <w:rFonts w:ascii="Arial" w:hAnsi="Arial" w:cs="Arial"/>
        </w:rPr>
        <w:lastRenderedPageBreak/>
        <w:t>solaio aerato:</w:t>
      </w:r>
      <w:r w:rsidR="00CF0052">
        <w:rPr>
          <w:rFonts w:ascii="Arial" w:hAnsi="Arial" w:cs="Arial"/>
        </w:rPr>
        <w:t xml:space="preserve"> </w:t>
      </w:r>
      <w:r w:rsidR="00CF0052" w:rsidRPr="006A7C86">
        <w:rPr>
          <w:rFonts w:ascii="Arial" w:hAnsi="Arial" w:cs="Arial"/>
        </w:rPr>
        <w:t>sarà impiegata sabbia da stendere sopra le tubazioni</w:t>
      </w:r>
      <w:r w:rsidR="00CF0052">
        <w:rPr>
          <w:rFonts w:ascii="Arial" w:hAnsi="Arial" w:cs="Arial"/>
        </w:rPr>
        <w:t xml:space="preserve"> e da allettare sotto alle stesse per creare un completo avvolgimento dei tubi. La sabbia rimarrà confinata dai cordoli che si creano con la realizzazione dei bauletti di cls </w:t>
      </w:r>
      <w:r w:rsidR="00DC1E71">
        <w:rPr>
          <w:rFonts w:ascii="Arial" w:hAnsi="Arial" w:cs="Arial"/>
        </w:rPr>
        <w:t>per le tubazioni longitudinali</w:t>
      </w:r>
      <w:r w:rsidR="00CF0052">
        <w:rPr>
          <w:rFonts w:ascii="Arial" w:hAnsi="Arial" w:cs="Arial"/>
        </w:rPr>
        <w:t xml:space="preserve"> e da apposito cordolo nelle quattro campiture ove le tubazioni non sono presenti.</w:t>
      </w:r>
    </w:p>
    <w:p w:rsidR="00CF0052" w:rsidRDefault="00393394" w:rsidP="006A7C86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Per le suddette lavorazioni sono state considerate, nelle schede di analisi, modalità esecutive che prevedono l’impiego significativo di manodopera.</w:t>
      </w:r>
    </w:p>
    <w:p w:rsidR="00393394" w:rsidRDefault="00393394" w:rsidP="006A7C86">
      <w:pPr>
        <w:spacing w:line="360" w:lineRule="auto"/>
        <w:ind w:right="-27"/>
        <w:jc w:val="both"/>
        <w:rPr>
          <w:rFonts w:ascii="Arial" w:hAnsi="Arial" w:cs="Arial"/>
        </w:rPr>
      </w:pPr>
    </w:p>
    <w:p w:rsidR="006A7C86" w:rsidRPr="006A7C86" w:rsidRDefault="00CD10BA" w:rsidP="00CD10BA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La seconda fase di lavorazioni consiste nella realizzazione del riempimento vero e proprio</w:t>
      </w:r>
      <w:r w:rsidR="00393394">
        <w:rPr>
          <w:rFonts w:ascii="Arial" w:hAnsi="Arial" w:cs="Arial"/>
        </w:rPr>
        <w:t xml:space="preserve"> dell’area</w:t>
      </w:r>
      <w:r>
        <w:rPr>
          <w:rFonts w:ascii="Arial" w:hAnsi="Arial" w:cs="Arial"/>
        </w:rPr>
        <w:t xml:space="preserve">: esso verrà realizzato con il materiale </w:t>
      </w:r>
      <w:r w:rsidR="00393394">
        <w:rPr>
          <w:rFonts w:ascii="Arial" w:hAnsi="Arial" w:cs="Arial"/>
        </w:rPr>
        <w:t>già previsto nella prima perizia di variante</w:t>
      </w:r>
      <w:r w:rsidR="003925D6">
        <w:rPr>
          <w:rFonts w:ascii="Arial" w:hAnsi="Arial" w:cs="Arial"/>
        </w:rPr>
        <w:t>:</w:t>
      </w:r>
      <w:r w:rsidR="00393394">
        <w:rPr>
          <w:rFonts w:ascii="Arial" w:hAnsi="Arial" w:cs="Arial"/>
        </w:rPr>
        <w:t xml:space="preserve"> mista naturale (tout-venant); </w:t>
      </w:r>
      <w:r w:rsidR="006A7C86" w:rsidRPr="006A7C86">
        <w:rPr>
          <w:rFonts w:ascii="Arial" w:hAnsi="Arial" w:cs="Arial"/>
        </w:rPr>
        <w:t>la stesa di questo materiale dovrà essere eseguita con le necessarie cautele per evitare danneggiamenti delle tubazioni</w:t>
      </w:r>
      <w:r w:rsidR="003925D6">
        <w:rPr>
          <w:rFonts w:ascii="Arial" w:hAnsi="Arial" w:cs="Arial"/>
        </w:rPr>
        <w:t>:</w:t>
      </w:r>
      <w:r w:rsidR="006A7C86" w:rsidRPr="006A7C86">
        <w:rPr>
          <w:rFonts w:ascii="Arial" w:hAnsi="Arial" w:cs="Arial"/>
        </w:rPr>
        <w:t xml:space="preserve"> </w:t>
      </w:r>
      <w:r w:rsidR="00393394">
        <w:rPr>
          <w:rFonts w:ascii="Arial" w:hAnsi="Arial" w:cs="Arial"/>
        </w:rPr>
        <w:t xml:space="preserve">per tale motivo sono state previste in variante specifiche lavorazioni per tale posa con l’impiego di mezzi di piccole dimensioni e peso ridotto e con assistenza da parte di operatori; </w:t>
      </w:r>
      <w:r w:rsidR="003925D6">
        <w:rPr>
          <w:rFonts w:ascii="Arial" w:hAnsi="Arial" w:cs="Arial"/>
        </w:rPr>
        <w:t xml:space="preserve">in particolare </w:t>
      </w:r>
      <w:r w:rsidR="006A7C86" w:rsidRPr="006A7C86">
        <w:rPr>
          <w:rFonts w:ascii="Arial" w:hAnsi="Arial" w:cs="Arial"/>
        </w:rPr>
        <w:t xml:space="preserve">la costipazione a strati del riempimento verrà effettuata con idonei mezzi vibro-compattanti </w:t>
      </w:r>
      <w:r w:rsidR="003925D6">
        <w:rPr>
          <w:rFonts w:ascii="Arial" w:hAnsi="Arial" w:cs="Arial"/>
        </w:rPr>
        <w:t>leggeri e/o</w:t>
      </w:r>
      <w:r w:rsidR="006A7C86" w:rsidRPr="006A7C86">
        <w:rPr>
          <w:rFonts w:ascii="Arial" w:hAnsi="Arial" w:cs="Arial"/>
        </w:rPr>
        <w:t xml:space="preserve"> manuali oltre a bagnatura e ricarichi sino ad ottenere buone condizioni di stabilità e compattezza.</w:t>
      </w:r>
    </w:p>
    <w:p w:rsidR="00F837B8" w:rsidRDefault="00F837B8" w:rsidP="006A7C86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Attraverso le suddette lavorazioni si realizzerà un riempimento di circa 60 cm sino a raggiungere la quota di imposta del pacchetto di pavimentazione.</w:t>
      </w:r>
    </w:p>
    <w:p w:rsidR="00F837B8" w:rsidRDefault="00F837B8" w:rsidP="006A7C86">
      <w:pPr>
        <w:spacing w:line="360" w:lineRule="auto"/>
        <w:ind w:right="-27"/>
        <w:jc w:val="both"/>
        <w:rPr>
          <w:rFonts w:ascii="Arial" w:hAnsi="Arial" w:cs="Arial"/>
        </w:rPr>
      </w:pPr>
    </w:p>
    <w:p w:rsidR="00786F19" w:rsidRDefault="004330A7" w:rsidP="006A7C86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La terza fase – finale – di lavorazione consiste nella realizzazione della pavimentazione indu</w:t>
      </w:r>
      <w:r w:rsidR="00832A46">
        <w:rPr>
          <w:rFonts w:ascii="Arial" w:hAnsi="Arial" w:cs="Arial"/>
        </w:rPr>
        <w:t>striale</w:t>
      </w:r>
      <w:r>
        <w:rPr>
          <w:rFonts w:ascii="Arial" w:hAnsi="Arial" w:cs="Arial"/>
        </w:rPr>
        <w:t>; sostanzialmente viene confermato quanto previsto a progetto con l’incremento dello spessore della soletta (da 15 a 20 cm) e la realizzazione di un sottofondo di preparazione in magrone dello spessore di 10 cm</w:t>
      </w:r>
      <w:r w:rsidR="00832A46">
        <w:rPr>
          <w:rFonts w:ascii="Arial" w:hAnsi="Arial" w:cs="Arial"/>
        </w:rPr>
        <w:t>; quindi, in totale un “pacchetto” da 30 cm</w:t>
      </w:r>
      <w:r>
        <w:rPr>
          <w:rFonts w:ascii="Arial" w:hAnsi="Arial" w:cs="Arial"/>
        </w:rPr>
        <w:t>.</w:t>
      </w:r>
      <w:r w:rsidR="00786F19">
        <w:rPr>
          <w:rFonts w:ascii="Arial" w:hAnsi="Arial" w:cs="Arial"/>
        </w:rPr>
        <w:t xml:space="preserve">  </w:t>
      </w:r>
      <w:r w:rsidR="006A7C86" w:rsidRPr="006A7C86">
        <w:rPr>
          <w:rFonts w:ascii="Arial" w:hAnsi="Arial" w:cs="Arial"/>
        </w:rPr>
        <w:t xml:space="preserve">Quale </w:t>
      </w:r>
      <w:r w:rsidR="00832A46">
        <w:rPr>
          <w:rFonts w:ascii="Arial" w:hAnsi="Arial" w:cs="Arial"/>
        </w:rPr>
        <w:t xml:space="preserve">ulteriore </w:t>
      </w:r>
      <w:r w:rsidR="006A7C86" w:rsidRPr="006A7C86">
        <w:rPr>
          <w:rFonts w:ascii="Arial" w:hAnsi="Arial" w:cs="Arial"/>
        </w:rPr>
        <w:t xml:space="preserve">elemento migliorativo, per una </w:t>
      </w:r>
      <w:r w:rsidR="00832A46">
        <w:rPr>
          <w:rFonts w:ascii="Arial" w:hAnsi="Arial" w:cs="Arial"/>
        </w:rPr>
        <w:t xml:space="preserve">ottimale </w:t>
      </w:r>
      <w:r w:rsidR="006A7C86" w:rsidRPr="006A7C86">
        <w:rPr>
          <w:rFonts w:ascii="Arial" w:hAnsi="Arial" w:cs="Arial"/>
        </w:rPr>
        <w:t xml:space="preserve">garanzia </w:t>
      </w:r>
      <w:r w:rsidR="00832A46">
        <w:rPr>
          <w:rFonts w:ascii="Arial" w:hAnsi="Arial" w:cs="Arial"/>
        </w:rPr>
        <w:t>nei confronti delle fessurazioni</w:t>
      </w:r>
      <w:r w:rsidR="006A7C86" w:rsidRPr="006A7C86">
        <w:rPr>
          <w:rFonts w:ascii="Arial" w:hAnsi="Arial" w:cs="Arial"/>
        </w:rPr>
        <w:t xml:space="preserve">, si </w:t>
      </w:r>
      <w:r w:rsidR="00786F19">
        <w:rPr>
          <w:rFonts w:ascii="Arial" w:hAnsi="Arial" w:cs="Arial"/>
        </w:rPr>
        <w:t>è ritenuto</w:t>
      </w:r>
      <w:r w:rsidR="006A7C86" w:rsidRPr="006A7C86">
        <w:rPr>
          <w:rFonts w:ascii="Arial" w:hAnsi="Arial" w:cs="Arial"/>
        </w:rPr>
        <w:t xml:space="preserve"> opportuno </w:t>
      </w:r>
      <w:r w:rsidR="00832A46">
        <w:rPr>
          <w:rFonts w:ascii="Arial" w:hAnsi="Arial" w:cs="Arial"/>
        </w:rPr>
        <w:t xml:space="preserve">armare lo strato di magrone con uno strato di rete elettrosaldata e di portare a due strati quello della pavimentazione. Sono infine previsti i tagli della pavimentazione per creare giunti in punti </w:t>
      </w:r>
      <w:r w:rsidR="009C1F29">
        <w:rPr>
          <w:rFonts w:ascii="Arial" w:hAnsi="Arial" w:cs="Arial"/>
        </w:rPr>
        <w:t>di discontinuità (porte e passaggi) e il collegamento delle armature metalliche alla rete di terra in 4 punti di estremità per garantire che tutte le strutture siano allo stesso potenziale</w:t>
      </w:r>
      <w:r w:rsidR="00832A46">
        <w:rPr>
          <w:rFonts w:ascii="Arial" w:hAnsi="Arial" w:cs="Arial"/>
        </w:rPr>
        <w:t>.</w:t>
      </w:r>
    </w:p>
    <w:p w:rsidR="009D5E50" w:rsidRDefault="009D5E50" w:rsidP="009D5E50">
      <w:pPr>
        <w:spacing w:line="360" w:lineRule="auto"/>
        <w:ind w:right="-27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AREA PIAZZALE OVEST TRA PIATTAFORMA AMBULANTI E CABINA A2A</w:t>
      </w:r>
    </w:p>
    <w:p w:rsidR="009D5E50" w:rsidRDefault="00461999" w:rsidP="009D5E50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 piazzale ovest, in particolare nell’area compresa tra la nuova Piattaforma Ambulanti e </w:t>
      </w:r>
      <w:proofErr w:type="gramStart"/>
      <w:r>
        <w:rPr>
          <w:rFonts w:ascii="Arial" w:hAnsi="Arial" w:cs="Arial"/>
        </w:rPr>
        <w:t>il</w:t>
      </w:r>
      <w:proofErr w:type="gramEnd"/>
      <w:r>
        <w:rPr>
          <w:rFonts w:ascii="Arial" w:hAnsi="Arial" w:cs="Arial"/>
        </w:rPr>
        <w:t xml:space="preserve"> nuovo Mercato Avicunicolo in al</w:t>
      </w:r>
      <w:r w:rsidR="001713AC">
        <w:rPr>
          <w:rFonts w:ascii="Arial" w:hAnsi="Arial" w:cs="Arial"/>
        </w:rPr>
        <w:t>lestimento nel settore sud del Mercato F</w:t>
      </w:r>
      <w:r>
        <w:rPr>
          <w:rFonts w:ascii="Arial" w:hAnsi="Arial" w:cs="Arial"/>
        </w:rPr>
        <w:t>iori, è necessario rivedere il sistema delle pendenze e la raccolta delle acque meteoriche.</w:t>
      </w:r>
      <w:r w:rsidR="001713AC">
        <w:rPr>
          <w:rFonts w:ascii="Arial" w:hAnsi="Arial" w:cs="Arial"/>
        </w:rPr>
        <w:t xml:space="preserve">  Tale necessità deriva dalle quote di progetto previste per le sistemazioni a perimetro dei nuovi </w:t>
      </w:r>
      <w:r w:rsidR="00087E1C">
        <w:rPr>
          <w:rFonts w:ascii="Arial" w:hAnsi="Arial" w:cs="Arial"/>
        </w:rPr>
        <w:t>edifici</w:t>
      </w:r>
      <w:r w:rsidR="001713AC">
        <w:rPr>
          <w:rFonts w:ascii="Arial" w:hAnsi="Arial" w:cs="Arial"/>
        </w:rPr>
        <w:t xml:space="preserve"> che devono essere tra loro raccordate</w:t>
      </w:r>
      <w:r w:rsidR="00087E1C">
        <w:rPr>
          <w:rFonts w:ascii="Arial" w:hAnsi="Arial" w:cs="Arial"/>
        </w:rPr>
        <w:t>; tali modifiche determi</w:t>
      </w:r>
      <w:r w:rsidR="00B3209E">
        <w:rPr>
          <w:rFonts w:ascii="Arial" w:hAnsi="Arial" w:cs="Arial"/>
        </w:rPr>
        <w:t>na</w:t>
      </w:r>
      <w:r w:rsidR="00087E1C">
        <w:rPr>
          <w:rFonts w:ascii="Arial" w:hAnsi="Arial" w:cs="Arial"/>
        </w:rPr>
        <w:t xml:space="preserve">no la necessità di </w:t>
      </w:r>
      <w:r w:rsidR="00B11D74">
        <w:rPr>
          <w:rFonts w:ascii="Arial" w:hAnsi="Arial" w:cs="Arial"/>
        </w:rPr>
        <w:t>realizza</w:t>
      </w:r>
      <w:r w:rsidR="00087E1C">
        <w:rPr>
          <w:rFonts w:ascii="Arial" w:hAnsi="Arial" w:cs="Arial"/>
        </w:rPr>
        <w:t xml:space="preserve">re anche </w:t>
      </w:r>
      <w:r w:rsidR="00B11D74">
        <w:rPr>
          <w:rFonts w:ascii="Arial" w:hAnsi="Arial" w:cs="Arial"/>
        </w:rPr>
        <w:t xml:space="preserve">una nuova </w:t>
      </w:r>
      <w:r w:rsidR="001713AC">
        <w:rPr>
          <w:rFonts w:ascii="Arial" w:hAnsi="Arial" w:cs="Arial"/>
        </w:rPr>
        <w:t>raccolta e smaltimento delle acque meteoriche</w:t>
      </w:r>
      <w:r w:rsidR="00B11D74">
        <w:rPr>
          <w:rFonts w:ascii="Arial" w:hAnsi="Arial" w:cs="Arial"/>
        </w:rPr>
        <w:t xml:space="preserve"> </w:t>
      </w:r>
      <w:r w:rsidR="00087E1C">
        <w:rPr>
          <w:rFonts w:ascii="Arial" w:hAnsi="Arial" w:cs="Arial"/>
        </w:rPr>
        <w:t xml:space="preserve">di questa parte </w:t>
      </w:r>
      <w:r w:rsidR="00B11D74">
        <w:rPr>
          <w:rFonts w:ascii="Arial" w:hAnsi="Arial" w:cs="Arial"/>
        </w:rPr>
        <w:t>del piazzale</w:t>
      </w:r>
      <w:r w:rsidR="001713AC">
        <w:rPr>
          <w:rFonts w:ascii="Arial" w:hAnsi="Arial" w:cs="Arial"/>
        </w:rPr>
        <w:t>.</w:t>
      </w:r>
    </w:p>
    <w:p w:rsidR="00D11DA5" w:rsidRDefault="00B11D74" w:rsidP="00381637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tal fine </w:t>
      </w:r>
      <w:r w:rsidR="00381637">
        <w:rPr>
          <w:rFonts w:ascii="Arial" w:hAnsi="Arial" w:cs="Arial"/>
        </w:rPr>
        <w:t xml:space="preserve">è stato redatto un elaborato grafico </w:t>
      </w:r>
      <w:r w:rsidR="0062115B">
        <w:rPr>
          <w:rFonts w:ascii="Arial" w:hAnsi="Arial" w:cs="Arial"/>
        </w:rPr>
        <w:t>(YA 0232 rev 2 ottobre 2014</w:t>
      </w:r>
      <w:r w:rsidR="00D11DA5">
        <w:rPr>
          <w:rFonts w:ascii="Arial" w:hAnsi="Arial" w:cs="Arial"/>
        </w:rPr>
        <w:t xml:space="preserve">) </w:t>
      </w:r>
      <w:r w:rsidR="00381637">
        <w:rPr>
          <w:rFonts w:ascii="Arial" w:hAnsi="Arial" w:cs="Arial"/>
        </w:rPr>
        <w:t>che riassume gli interventi necessari per creare un nuovo sistema di pendenze e di raccolta delle acque meteoriche; la Stazione Appaltante ritiene opportuno realizzare tali interventi con un separato appalto</w:t>
      </w:r>
      <w:r w:rsidR="00D11DA5">
        <w:rPr>
          <w:rFonts w:ascii="Arial" w:hAnsi="Arial" w:cs="Arial"/>
        </w:rPr>
        <w:t>,</w:t>
      </w:r>
      <w:r w:rsidR="00381637">
        <w:rPr>
          <w:rFonts w:ascii="Arial" w:hAnsi="Arial" w:cs="Arial"/>
        </w:rPr>
        <w:t xml:space="preserve"> pertanto tali opere non sono c</w:t>
      </w:r>
      <w:r w:rsidR="00D11DA5">
        <w:rPr>
          <w:rFonts w:ascii="Arial" w:hAnsi="Arial" w:cs="Arial"/>
        </w:rPr>
        <w:t>omprese nella presente variante ma vengono comunque illustrate in quanto ad essa strettamente correlate.</w:t>
      </w:r>
    </w:p>
    <w:p w:rsidR="00087E1C" w:rsidRDefault="00087E1C" w:rsidP="00381637">
      <w:pPr>
        <w:spacing w:line="360" w:lineRule="auto"/>
        <w:ind w:right="-27"/>
        <w:jc w:val="both"/>
        <w:rPr>
          <w:rFonts w:ascii="Arial" w:hAnsi="Arial" w:cs="Arial"/>
        </w:rPr>
      </w:pPr>
    </w:p>
    <w:p w:rsidR="00D11DA5" w:rsidRDefault="00D11DA5" w:rsidP="00381637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In una prima fase verrà scarificata l’area le cui quote risultano eccessivamente elevate asportando il con</w:t>
      </w:r>
      <w:r w:rsidR="00A92204">
        <w:rPr>
          <w:rFonts w:ascii="Arial" w:hAnsi="Arial" w:cs="Arial"/>
        </w:rPr>
        <w:t>glomerato bituminoso presente e</w:t>
      </w:r>
      <w:r>
        <w:rPr>
          <w:rFonts w:ascii="Arial" w:hAnsi="Arial" w:cs="Arial"/>
        </w:rPr>
        <w:t xml:space="preserve"> </w:t>
      </w:r>
      <w:r w:rsidR="006515BA">
        <w:rPr>
          <w:rFonts w:ascii="Arial" w:hAnsi="Arial" w:cs="Arial"/>
        </w:rPr>
        <w:t>la</w:t>
      </w:r>
      <w:r>
        <w:rPr>
          <w:rFonts w:ascii="Arial" w:hAnsi="Arial" w:cs="Arial"/>
        </w:rPr>
        <w:t xml:space="preserve"> parte del terreno </w:t>
      </w:r>
      <w:r w:rsidR="006515BA">
        <w:rPr>
          <w:rFonts w:ascii="Arial" w:hAnsi="Arial" w:cs="Arial"/>
        </w:rPr>
        <w:t xml:space="preserve">necessaria per </w:t>
      </w:r>
      <w:r>
        <w:rPr>
          <w:rFonts w:ascii="Arial" w:hAnsi="Arial" w:cs="Arial"/>
        </w:rPr>
        <w:t>raggi</w:t>
      </w:r>
      <w:r w:rsidR="00F233F2">
        <w:rPr>
          <w:rFonts w:ascii="Arial" w:hAnsi="Arial" w:cs="Arial"/>
        </w:rPr>
        <w:t>ungere le quote di imposta della</w:t>
      </w:r>
      <w:r>
        <w:rPr>
          <w:rFonts w:ascii="Arial" w:hAnsi="Arial" w:cs="Arial"/>
        </w:rPr>
        <w:t xml:space="preserve"> successiva nuova pavimentazione</w:t>
      </w:r>
      <w:r w:rsidR="006515BA">
        <w:rPr>
          <w:rFonts w:ascii="Arial" w:hAnsi="Arial" w:cs="Arial"/>
        </w:rPr>
        <w:t xml:space="preserve"> bituminosa</w:t>
      </w:r>
      <w:r>
        <w:rPr>
          <w:rFonts w:ascii="Arial" w:hAnsi="Arial" w:cs="Arial"/>
        </w:rPr>
        <w:t xml:space="preserve">; </w:t>
      </w:r>
      <w:r w:rsidR="006515BA">
        <w:rPr>
          <w:rFonts w:ascii="Arial" w:hAnsi="Arial" w:cs="Arial"/>
        </w:rPr>
        <w:t xml:space="preserve">tale area corrisponde a quella individuata con retino di colore blu nella planimetria. In particolare tale intervento riguarderà </w:t>
      </w:r>
      <w:r>
        <w:rPr>
          <w:rFonts w:ascii="Arial" w:hAnsi="Arial" w:cs="Arial"/>
        </w:rPr>
        <w:t xml:space="preserve">l’area ove è prevista la realizzazione della nuova cabina </w:t>
      </w:r>
      <w:r w:rsidR="00711466">
        <w:rPr>
          <w:rFonts w:ascii="Arial" w:hAnsi="Arial" w:cs="Arial"/>
        </w:rPr>
        <w:t xml:space="preserve">A2A </w:t>
      </w:r>
      <w:r>
        <w:rPr>
          <w:rFonts w:ascii="Arial" w:hAnsi="Arial" w:cs="Arial"/>
        </w:rPr>
        <w:t xml:space="preserve">in modo che la stessa possa essere costruita </w:t>
      </w:r>
      <w:r w:rsidR="006515BA">
        <w:rPr>
          <w:rFonts w:ascii="Arial" w:hAnsi="Arial" w:cs="Arial"/>
        </w:rPr>
        <w:t>con riferimento alle quote finali.</w:t>
      </w:r>
    </w:p>
    <w:p w:rsidR="00A92204" w:rsidRDefault="00A92204" w:rsidP="00381637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Nella stessa fase verranno anche costruite le nuove caditoie per la raccolta delle acque meteoriche con relativi collegamenti di smaltimento; ciò al fine di poter eseguire tutte le opere previste per la piattaforma ambulanti senza ulteriori vincoli.</w:t>
      </w:r>
    </w:p>
    <w:p w:rsidR="00D11DA5" w:rsidRDefault="00E927A5" w:rsidP="00A92204">
      <w:pPr>
        <w:spacing w:before="240" w:after="240" w:line="360" w:lineRule="auto"/>
        <w:ind w:right="-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</w:t>
      </w:r>
      <w:r w:rsidR="00F233F2">
        <w:rPr>
          <w:rFonts w:ascii="Arial" w:hAnsi="Arial" w:cs="Arial"/>
        </w:rPr>
        <w:t xml:space="preserve">seconda fase </w:t>
      </w:r>
      <w:r>
        <w:rPr>
          <w:rFonts w:ascii="Arial" w:hAnsi="Arial" w:cs="Arial"/>
        </w:rPr>
        <w:t>prevede la realizzazione della cabina stessa.</w:t>
      </w:r>
    </w:p>
    <w:p w:rsidR="00E927A5" w:rsidRDefault="00E927A5" w:rsidP="00381637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 terza fase - finale – delle opere per il piazzale </w:t>
      </w:r>
      <w:r w:rsidR="00087E1C">
        <w:rPr>
          <w:rFonts w:ascii="Arial" w:hAnsi="Arial" w:cs="Arial"/>
        </w:rPr>
        <w:t>verrà</w:t>
      </w:r>
      <w:r>
        <w:rPr>
          <w:rFonts w:ascii="Arial" w:hAnsi="Arial" w:cs="Arial"/>
        </w:rPr>
        <w:t xml:space="preserve"> realizzata dopo il completamento al grezzo della cabina e degli elementi esterni ad essa complementari (pozzetti, muro di recinzione, ecc.); essa consiste nel </w:t>
      </w:r>
      <w:r w:rsidR="00087E1C">
        <w:rPr>
          <w:rFonts w:ascii="Arial" w:hAnsi="Arial" w:cs="Arial"/>
        </w:rPr>
        <w:t>co</w:t>
      </w:r>
      <w:r w:rsidR="00A92204">
        <w:rPr>
          <w:rFonts w:ascii="Arial" w:hAnsi="Arial" w:cs="Arial"/>
        </w:rPr>
        <w:t xml:space="preserve">mpletare </w:t>
      </w:r>
      <w:r>
        <w:rPr>
          <w:rFonts w:ascii="Arial" w:hAnsi="Arial" w:cs="Arial"/>
        </w:rPr>
        <w:t xml:space="preserve">le nuove caditoie per la raccolta delle acque meteoriche </w:t>
      </w:r>
      <w:r w:rsidR="00A92204">
        <w:rPr>
          <w:rFonts w:ascii="Arial" w:hAnsi="Arial" w:cs="Arial"/>
        </w:rPr>
        <w:t xml:space="preserve">(con le grate finali perfettamente in quota) </w:t>
      </w:r>
      <w:r>
        <w:rPr>
          <w:rFonts w:ascii="Arial" w:hAnsi="Arial" w:cs="Arial"/>
        </w:rPr>
        <w:t xml:space="preserve">e le </w:t>
      </w:r>
      <w:r w:rsidR="00B3209E">
        <w:rPr>
          <w:rFonts w:ascii="Arial" w:hAnsi="Arial" w:cs="Arial"/>
        </w:rPr>
        <w:t xml:space="preserve">scarifiche / </w:t>
      </w:r>
      <w:r>
        <w:rPr>
          <w:rFonts w:ascii="Arial" w:hAnsi="Arial" w:cs="Arial"/>
        </w:rPr>
        <w:t xml:space="preserve">ricariche necessarie nell’area verso il nuovo Mercato Avicunicolo (l’area </w:t>
      </w:r>
      <w:r w:rsidR="00087E1C">
        <w:rPr>
          <w:rFonts w:ascii="Arial" w:hAnsi="Arial" w:cs="Arial"/>
        </w:rPr>
        <w:t xml:space="preserve">individuata con retino di </w:t>
      </w:r>
      <w:r w:rsidR="00087E1C">
        <w:rPr>
          <w:rFonts w:ascii="Arial" w:hAnsi="Arial" w:cs="Arial"/>
        </w:rPr>
        <w:lastRenderedPageBreak/>
        <w:t>colore rosso nella planimetria)</w:t>
      </w:r>
      <w:r w:rsidR="00B3209E">
        <w:rPr>
          <w:rFonts w:ascii="Arial" w:hAnsi="Arial" w:cs="Arial"/>
        </w:rPr>
        <w:t xml:space="preserve"> sino a realizzare le quote per </w:t>
      </w:r>
      <w:r w:rsidR="00087E1C">
        <w:rPr>
          <w:rFonts w:ascii="Arial" w:hAnsi="Arial" w:cs="Arial"/>
        </w:rPr>
        <w:t>la nuova pavimentazione in conglomerato bituminoso</w:t>
      </w:r>
      <w:r w:rsidR="00B3209E">
        <w:rPr>
          <w:rFonts w:ascii="Arial" w:hAnsi="Arial" w:cs="Arial"/>
        </w:rPr>
        <w:t>. Completerà l’intervento la realizzazione della nuova pavimentazione in conglomerato bituminoso</w:t>
      </w:r>
      <w:r w:rsidR="00087E1C">
        <w:rPr>
          <w:rFonts w:ascii="Arial" w:hAnsi="Arial" w:cs="Arial"/>
        </w:rPr>
        <w:t xml:space="preserve"> di tutta l’area </w:t>
      </w:r>
      <w:r w:rsidR="00B3209E">
        <w:rPr>
          <w:rFonts w:ascii="Arial" w:hAnsi="Arial" w:cs="Arial"/>
        </w:rPr>
        <w:t xml:space="preserve">(sia blu che rossa) che andrà altresì </w:t>
      </w:r>
      <w:r w:rsidR="00087E1C">
        <w:rPr>
          <w:rFonts w:ascii="Arial" w:hAnsi="Arial" w:cs="Arial"/>
        </w:rPr>
        <w:t>raccorda</w:t>
      </w:r>
      <w:r w:rsidR="00B3209E">
        <w:rPr>
          <w:rFonts w:ascii="Arial" w:hAnsi="Arial" w:cs="Arial"/>
        </w:rPr>
        <w:t>t</w:t>
      </w:r>
      <w:r w:rsidR="00087E1C">
        <w:rPr>
          <w:rFonts w:ascii="Arial" w:hAnsi="Arial" w:cs="Arial"/>
        </w:rPr>
        <w:t>a</w:t>
      </w:r>
      <w:r w:rsidR="00B3209E">
        <w:rPr>
          <w:rFonts w:ascii="Arial" w:hAnsi="Arial" w:cs="Arial"/>
        </w:rPr>
        <w:t xml:space="preserve"> </w:t>
      </w:r>
      <w:r w:rsidR="00087E1C">
        <w:rPr>
          <w:rFonts w:ascii="Arial" w:hAnsi="Arial" w:cs="Arial"/>
        </w:rPr>
        <w:t>alle zone circostanti</w:t>
      </w:r>
      <w:r w:rsidR="00B3209E">
        <w:rPr>
          <w:rFonts w:ascii="Arial" w:hAnsi="Arial" w:cs="Arial"/>
        </w:rPr>
        <w:t xml:space="preserve"> ove la pavimentazione è stata mantenuta</w:t>
      </w:r>
      <w:r w:rsidR="00087E1C">
        <w:rPr>
          <w:rFonts w:ascii="Arial" w:hAnsi="Arial" w:cs="Arial"/>
        </w:rPr>
        <w:t>.</w:t>
      </w:r>
    </w:p>
    <w:p w:rsidR="008532C1" w:rsidRDefault="008532C1" w:rsidP="006A7C86">
      <w:pPr>
        <w:spacing w:line="360" w:lineRule="auto"/>
        <w:ind w:right="-27"/>
        <w:jc w:val="both"/>
        <w:rPr>
          <w:rFonts w:ascii="Arial" w:hAnsi="Arial" w:cs="Arial"/>
        </w:rPr>
      </w:pPr>
      <w:bookmarkStart w:id="1" w:name="_GoBack"/>
      <w:bookmarkEnd w:id="1"/>
    </w:p>
    <w:sectPr w:rsidR="008532C1" w:rsidSect="00E77C1A">
      <w:footerReference w:type="default" r:id="rId10"/>
      <w:type w:val="continuous"/>
      <w:pgSz w:w="12240" w:h="15840"/>
      <w:pgMar w:top="1701" w:right="1417" w:bottom="1701" w:left="1417" w:header="737" w:footer="73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1551" w:rsidRDefault="000F1551" w:rsidP="00E77C1A">
      <w:r>
        <w:separator/>
      </w:r>
    </w:p>
  </w:endnote>
  <w:endnote w:type="continuationSeparator" w:id="0">
    <w:p w:rsidR="000F1551" w:rsidRDefault="000F1551" w:rsidP="00E7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C1" w:rsidRPr="009D5BC9" w:rsidRDefault="00D52DC1">
    <w:pPr>
      <w:pStyle w:val="Pidipagina"/>
      <w:rPr>
        <w:rFonts w:ascii="Arial" w:hAnsi="Arial" w:cs="Arial"/>
      </w:rPr>
    </w:pPr>
    <w:r w:rsidRPr="009D5BC9">
      <w:rPr>
        <w:rFonts w:ascii="Arial" w:hAnsi="Arial" w:cs="Arial"/>
      </w:rPr>
      <w:ptab w:relativeTo="margin" w:alignment="right" w:leader="none"/>
    </w:r>
    <w:proofErr w:type="gramStart"/>
    <w:r w:rsidRPr="009D5BC9">
      <w:rPr>
        <w:rFonts w:ascii="Arial" w:hAnsi="Arial" w:cs="Arial"/>
      </w:rPr>
      <w:t>pagina</w:t>
    </w:r>
    <w:proofErr w:type="gramEnd"/>
    <w:r w:rsidRPr="009D5BC9">
      <w:rPr>
        <w:rFonts w:ascii="Arial" w:hAnsi="Arial" w:cs="Arial"/>
      </w:rPr>
      <w:t xml:space="preserve"> 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PAGE   \* MERGEFORMAT </w:instrText>
    </w:r>
    <w:r w:rsidRPr="009D5BC9">
      <w:rPr>
        <w:rFonts w:ascii="Arial" w:hAnsi="Arial" w:cs="Arial"/>
      </w:rPr>
      <w:fldChar w:fldCharType="separate"/>
    </w:r>
    <w:r w:rsidR="009C1F29">
      <w:rPr>
        <w:rFonts w:ascii="Arial" w:hAnsi="Arial" w:cs="Arial"/>
        <w:noProof/>
      </w:rPr>
      <w:t>6</w:t>
    </w:r>
    <w:r w:rsidRPr="009D5BC9">
      <w:rPr>
        <w:rFonts w:ascii="Arial" w:hAnsi="Arial" w:cs="Arial"/>
      </w:rPr>
      <w:fldChar w:fldCharType="end"/>
    </w:r>
    <w:r w:rsidRPr="009D5BC9">
      <w:rPr>
        <w:rFonts w:ascii="Arial" w:hAnsi="Arial" w:cs="Arial"/>
      </w:rPr>
      <w:t>/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NUMPAGES   \* MERGEFORMAT </w:instrText>
    </w:r>
    <w:r w:rsidRPr="009D5BC9">
      <w:rPr>
        <w:rFonts w:ascii="Arial" w:hAnsi="Arial" w:cs="Arial"/>
      </w:rPr>
      <w:fldChar w:fldCharType="separate"/>
    </w:r>
    <w:r w:rsidR="009C1F29">
      <w:rPr>
        <w:rFonts w:ascii="Arial" w:hAnsi="Arial" w:cs="Arial"/>
        <w:noProof/>
      </w:rPr>
      <w:t>6</w:t>
    </w:r>
    <w:r w:rsidRPr="009D5BC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1551" w:rsidRDefault="000F1551" w:rsidP="00E77C1A">
      <w:r>
        <w:separator/>
      </w:r>
    </w:p>
  </w:footnote>
  <w:footnote w:type="continuationSeparator" w:id="0">
    <w:p w:rsidR="000F1551" w:rsidRDefault="000F1551" w:rsidP="00E77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1CBF"/>
    <w:multiLevelType w:val="hybridMultilevel"/>
    <w:tmpl w:val="20A6F33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D25F6F"/>
    <w:multiLevelType w:val="hybridMultilevel"/>
    <w:tmpl w:val="05364B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9F492F"/>
    <w:multiLevelType w:val="hybridMultilevel"/>
    <w:tmpl w:val="A3F6960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517D81"/>
    <w:multiLevelType w:val="hybridMultilevel"/>
    <w:tmpl w:val="22DEE9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B5980"/>
    <w:multiLevelType w:val="hybridMultilevel"/>
    <w:tmpl w:val="610A2C7C"/>
    <w:lvl w:ilvl="0" w:tplc="0C72B9E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6F1E01"/>
    <w:multiLevelType w:val="hybridMultilevel"/>
    <w:tmpl w:val="347E179E"/>
    <w:lvl w:ilvl="0" w:tplc="FA74ECF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E1996"/>
    <w:multiLevelType w:val="hybridMultilevel"/>
    <w:tmpl w:val="042ED6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BD54CE"/>
    <w:multiLevelType w:val="hybridMultilevel"/>
    <w:tmpl w:val="F70875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D7346"/>
    <w:multiLevelType w:val="hybridMultilevel"/>
    <w:tmpl w:val="4AC857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24449A"/>
    <w:multiLevelType w:val="hybridMultilevel"/>
    <w:tmpl w:val="F236CA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090300"/>
    <w:multiLevelType w:val="hybridMultilevel"/>
    <w:tmpl w:val="79F07284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23"/>
    <w:rsid w:val="00021C1F"/>
    <w:rsid w:val="000274B4"/>
    <w:rsid w:val="00073D6A"/>
    <w:rsid w:val="00082CBD"/>
    <w:rsid w:val="00087E1C"/>
    <w:rsid w:val="000C04BF"/>
    <w:rsid w:val="000E6030"/>
    <w:rsid w:val="000F1551"/>
    <w:rsid w:val="001239AE"/>
    <w:rsid w:val="00134E79"/>
    <w:rsid w:val="00137F1C"/>
    <w:rsid w:val="001447A5"/>
    <w:rsid w:val="001607FB"/>
    <w:rsid w:val="001713AC"/>
    <w:rsid w:val="00172196"/>
    <w:rsid w:val="001828B6"/>
    <w:rsid w:val="0018770F"/>
    <w:rsid w:val="001A2CFA"/>
    <w:rsid w:val="001C0CE4"/>
    <w:rsid w:val="001C3386"/>
    <w:rsid w:val="001C4165"/>
    <w:rsid w:val="001F114E"/>
    <w:rsid w:val="0022281E"/>
    <w:rsid w:val="00243B2E"/>
    <w:rsid w:val="00245FCE"/>
    <w:rsid w:val="0026675B"/>
    <w:rsid w:val="00286AC5"/>
    <w:rsid w:val="002A2FDF"/>
    <w:rsid w:val="002A6C84"/>
    <w:rsid w:val="002B3B82"/>
    <w:rsid w:val="002B6762"/>
    <w:rsid w:val="002C15B9"/>
    <w:rsid w:val="002D6B9A"/>
    <w:rsid w:val="00301617"/>
    <w:rsid w:val="00313A2C"/>
    <w:rsid w:val="00317F53"/>
    <w:rsid w:val="00344C7C"/>
    <w:rsid w:val="00355783"/>
    <w:rsid w:val="00364648"/>
    <w:rsid w:val="00366F18"/>
    <w:rsid w:val="00375AF0"/>
    <w:rsid w:val="003763AC"/>
    <w:rsid w:val="00376C56"/>
    <w:rsid w:val="003779E2"/>
    <w:rsid w:val="00381637"/>
    <w:rsid w:val="003861DC"/>
    <w:rsid w:val="00386E2F"/>
    <w:rsid w:val="003925D6"/>
    <w:rsid w:val="00393394"/>
    <w:rsid w:val="003B1EBF"/>
    <w:rsid w:val="003C3BE7"/>
    <w:rsid w:val="003C6119"/>
    <w:rsid w:val="003F00A7"/>
    <w:rsid w:val="003F3115"/>
    <w:rsid w:val="003F4BD3"/>
    <w:rsid w:val="003F64B4"/>
    <w:rsid w:val="004125F5"/>
    <w:rsid w:val="00423B96"/>
    <w:rsid w:val="00425678"/>
    <w:rsid w:val="004330A7"/>
    <w:rsid w:val="00434C40"/>
    <w:rsid w:val="00461999"/>
    <w:rsid w:val="00480FEE"/>
    <w:rsid w:val="00491D91"/>
    <w:rsid w:val="00497B75"/>
    <w:rsid w:val="004A5BB8"/>
    <w:rsid w:val="004B2B54"/>
    <w:rsid w:val="004B615F"/>
    <w:rsid w:val="004D30FF"/>
    <w:rsid w:val="004D6D9E"/>
    <w:rsid w:val="004E3A71"/>
    <w:rsid w:val="004E6031"/>
    <w:rsid w:val="004E7B6E"/>
    <w:rsid w:val="00511046"/>
    <w:rsid w:val="005158F9"/>
    <w:rsid w:val="005236E7"/>
    <w:rsid w:val="0053682C"/>
    <w:rsid w:val="0054109A"/>
    <w:rsid w:val="0054242F"/>
    <w:rsid w:val="0057285D"/>
    <w:rsid w:val="0058085B"/>
    <w:rsid w:val="005873A7"/>
    <w:rsid w:val="00597991"/>
    <w:rsid w:val="005A4272"/>
    <w:rsid w:val="005C0CA1"/>
    <w:rsid w:val="005D11E2"/>
    <w:rsid w:val="005E5312"/>
    <w:rsid w:val="00606716"/>
    <w:rsid w:val="00611275"/>
    <w:rsid w:val="00615CAF"/>
    <w:rsid w:val="0062115B"/>
    <w:rsid w:val="00631405"/>
    <w:rsid w:val="006515BA"/>
    <w:rsid w:val="00655FC2"/>
    <w:rsid w:val="0066222E"/>
    <w:rsid w:val="00663D85"/>
    <w:rsid w:val="00675BAA"/>
    <w:rsid w:val="0068599C"/>
    <w:rsid w:val="00687E0A"/>
    <w:rsid w:val="006A07C5"/>
    <w:rsid w:val="006A0947"/>
    <w:rsid w:val="006A7C86"/>
    <w:rsid w:val="006C091D"/>
    <w:rsid w:val="006E7789"/>
    <w:rsid w:val="006F6535"/>
    <w:rsid w:val="00706FCA"/>
    <w:rsid w:val="0071071A"/>
    <w:rsid w:val="00711466"/>
    <w:rsid w:val="007147EC"/>
    <w:rsid w:val="00714EE3"/>
    <w:rsid w:val="007279E8"/>
    <w:rsid w:val="0073062C"/>
    <w:rsid w:val="0073733D"/>
    <w:rsid w:val="00743F92"/>
    <w:rsid w:val="00765847"/>
    <w:rsid w:val="007810E0"/>
    <w:rsid w:val="00786F19"/>
    <w:rsid w:val="00791C6A"/>
    <w:rsid w:val="0079383E"/>
    <w:rsid w:val="00794726"/>
    <w:rsid w:val="00796E06"/>
    <w:rsid w:val="007A3C84"/>
    <w:rsid w:val="007A4C38"/>
    <w:rsid w:val="007B651A"/>
    <w:rsid w:val="00832A46"/>
    <w:rsid w:val="008532C1"/>
    <w:rsid w:val="008539B2"/>
    <w:rsid w:val="00860914"/>
    <w:rsid w:val="00862695"/>
    <w:rsid w:val="0087007C"/>
    <w:rsid w:val="00883C1D"/>
    <w:rsid w:val="0089265F"/>
    <w:rsid w:val="008B068C"/>
    <w:rsid w:val="008C5F23"/>
    <w:rsid w:val="008E38D6"/>
    <w:rsid w:val="008E6F0D"/>
    <w:rsid w:val="008F4AF3"/>
    <w:rsid w:val="00901432"/>
    <w:rsid w:val="00925FAD"/>
    <w:rsid w:val="00940727"/>
    <w:rsid w:val="009408FB"/>
    <w:rsid w:val="009412C0"/>
    <w:rsid w:val="00942045"/>
    <w:rsid w:val="00960F23"/>
    <w:rsid w:val="0097466D"/>
    <w:rsid w:val="009A2A2E"/>
    <w:rsid w:val="009A68FE"/>
    <w:rsid w:val="009A7C77"/>
    <w:rsid w:val="009C1F29"/>
    <w:rsid w:val="009D5BC9"/>
    <w:rsid w:val="009D5E50"/>
    <w:rsid w:val="00A07CAD"/>
    <w:rsid w:val="00A246A8"/>
    <w:rsid w:val="00A30AEB"/>
    <w:rsid w:val="00A32962"/>
    <w:rsid w:val="00A44341"/>
    <w:rsid w:val="00A55114"/>
    <w:rsid w:val="00A5730F"/>
    <w:rsid w:val="00A6120C"/>
    <w:rsid w:val="00A7050E"/>
    <w:rsid w:val="00A73266"/>
    <w:rsid w:val="00A86828"/>
    <w:rsid w:val="00A90E36"/>
    <w:rsid w:val="00A92204"/>
    <w:rsid w:val="00AA6297"/>
    <w:rsid w:val="00AD43D7"/>
    <w:rsid w:val="00B00412"/>
    <w:rsid w:val="00B11D74"/>
    <w:rsid w:val="00B175F5"/>
    <w:rsid w:val="00B3209E"/>
    <w:rsid w:val="00B37469"/>
    <w:rsid w:val="00B467B0"/>
    <w:rsid w:val="00B523F5"/>
    <w:rsid w:val="00B61651"/>
    <w:rsid w:val="00B63A96"/>
    <w:rsid w:val="00B80D3D"/>
    <w:rsid w:val="00B81275"/>
    <w:rsid w:val="00B9357E"/>
    <w:rsid w:val="00BA031B"/>
    <w:rsid w:val="00BB5FB6"/>
    <w:rsid w:val="00BC1DC7"/>
    <w:rsid w:val="00BD4494"/>
    <w:rsid w:val="00BF5597"/>
    <w:rsid w:val="00BF628A"/>
    <w:rsid w:val="00BF7180"/>
    <w:rsid w:val="00C00FA8"/>
    <w:rsid w:val="00C21EF8"/>
    <w:rsid w:val="00C23EF6"/>
    <w:rsid w:val="00C36DD4"/>
    <w:rsid w:val="00C42362"/>
    <w:rsid w:val="00C434D1"/>
    <w:rsid w:val="00C444A6"/>
    <w:rsid w:val="00C53499"/>
    <w:rsid w:val="00C665FF"/>
    <w:rsid w:val="00C72F09"/>
    <w:rsid w:val="00C770D7"/>
    <w:rsid w:val="00C86A26"/>
    <w:rsid w:val="00C91BED"/>
    <w:rsid w:val="00CA01C2"/>
    <w:rsid w:val="00CA683D"/>
    <w:rsid w:val="00CB0303"/>
    <w:rsid w:val="00CC7179"/>
    <w:rsid w:val="00CD10BA"/>
    <w:rsid w:val="00CD70C8"/>
    <w:rsid w:val="00CF0052"/>
    <w:rsid w:val="00CF343D"/>
    <w:rsid w:val="00D11DA5"/>
    <w:rsid w:val="00D35741"/>
    <w:rsid w:val="00D357A2"/>
    <w:rsid w:val="00D43EEC"/>
    <w:rsid w:val="00D52DC1"/>
    <w:rsid w:val="00D646EA"/>
    <w:rsid w:val="00D96D9A"/>
    <w:rsid w:val="00DA2B14"/>
    <w:rsid w:val="00DB0304"/>
    <w:rsid w:val="00DB6674"/>
    <w:rsid w:val="00DC1E71"/>
    <w:rsid w:val="00DD456F"/>
    <w:rsid w:val="00DE09A8"/>
    <w:rsid w:val="00E15019"/>
    <w:rsid w:val="00E16BF9"/>
    <w:rsid w:val="00E24D5E"/>
    <w:rsid w:val="00E33D51"/>
    <w:rsid w:val="00E46CC3"/>
    <w:rsid w:val="00E57945"/>
    <w:rsid w:val="00E7315B"/>
    <w:rsid w:val="00E77C1A"/>
    <w:rsid w:val="00E830D6"/>
    <w:rsid w:val="00E84369"/>
    <w:rsid w:val="00E927A5"/>
    <w:rsid w:val="00E96F30"/>
    <w:rsid w:val="00E970D9"/>
    <w:rsid w:val="00EA2CAE"/>
    <w:rsid w:val="00EA5F43"/>
    <w:rsid w:val="00EC0EF3"/>
    <w:rsid w:val="00EC65CB"/>
    <w:rsid w:val="00ED2BCD"/>
    <w:rsid w:val="00ED2F09"/>
    <w:rsid w:val="00ED75E6"/>
    <w:rsid w:val="00EE408F"/>
    <w:rsid w:val="00EE4AEC"/>
    <w:rsid w:val="00EF15C4"/>
    <w:rsid w:val="00EF286B"/>
    <w:rsid w:val="00F13593"/>
    <w:rsid w:val="00F142F1"/>
    <w:rsid w:val="00F233F2"/>
    <w:rsid w:val="00F63169"/>
    <w:rsid w:val="00F70337"/>
    <w:rsid w:val="00F74B43"/>
    <w:rsid w:val="00F837B8"/>
    <w:rsid w:val="00F91544"/>
    <w:rsid w:val="00F957A9"/>
    <w:rsid w:val="00F9725A"/>
    <w:rsid w:val="00FC0BE0"/>
    <w:rsid w:val="00FD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6D2DDE-9A48-47CC-8133-344BBE86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142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142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59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77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7C1A"/>
    <w:rPr>
      <w:sz w:val="24"/>
      <w:szCs w:val="24"/>
    </w:rPr>
  </w:style>
  <w:style w:type="paragraph" w:styleId="Pidipagina">
    <w:name w:val="footer"/>
    <w:basedOn w:val="Normale"/>
    <w:link w:val="PidipaginaCarattere"/>
    <w:rsid w:val="00E77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77C1A"/>
    <w:rPr>
      <w:sz w:val="24"/>
      <w:szCs w:val="24"/>
    </w:rPr>
  </w:style>
  <w:style w:type="paragraph" w:customStyle="1" w:styleId="TABSTEXT">
    <w:name w:val="TABS TEXT"/>
    <w:basedOn w:val="Normale"/>
    <w:rsid w:val="00F91544"/>
    <w:pPr>
      <w:keepNext/>
      <w:keepLines/>
      <w:tabs>
        <w:tab w:val="left" w:pos="1440"/>
        <w:tab w:val="left" w:pos="3600"/>
        <w:tab w:val="left" w:pos="5184"/>
        <w:tab w:val="left" w:pos="7200"/>
      </w:tabs>
    </w:pPr>
    <w:rPr>
      <w:rFonts w:ascii="Helvetica" w:hAnsi="Helvetica"/>
      <w:sz w:val="16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EB8F5112-176B-4D7F-95F9-B10B40F07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6</Pages>
  <Words>1128</Words>
  <Characters>6432</Characters>
  <Application>Microsoft Office Word</Application>
  <DocSecurity>0</DocSecurity>
  <Lines>53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HP</Company>
  <LinksUpToDate>false</LinksUpToDate>
  <CharactersWithSpaces>7545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creator>Marco</dc:creator>
  <cp:lastModifiedBy>Andrea Poloni</cp:lastModifiedBy>
  <cp:revision>28</cp:revision>
  <cp:lastPrinted>2014-10-27T10:57:00Z</cp:lastPrinted>
  <dcterms:created xsi:type="dcterms:W3CDTF">2014-10-24T13:39:00Z</dcterms:created>
  <dcterms:modified xsi:type="dcterms:W3CDTF">2014-10-27T11:19:00Z</dcterms:modified>
</cp:coreProperties>
</file>